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441—83.28</w:t>
      </w:r>
      <w:r>
        <w:rPr>
          <w:rFonts w:ascii="Times New Roman" w:hAnsi="Times New Roman"/>
          <w:b/>
          <w:i w:val="false"/>
          <w:color w:val="000000"/>
          <w:sz w:val="22"/>
        </w:rPr>
        <w:t xml:space="preserve">(249A) </w:t>
      </w:r>
      <w:r>
        <w:rPr>
          <w:rFonts w:ascii="Times New Roman" w:hAnsi="Times New Roman"/>
          <w:b/>
          <w:i w:val="false"/>
          <w:color w:val="000000"/>
          <w:sz w:val="22"/>
        </w:rPr>
        <w:t xml:space="preserve">Adverse service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83.28(1)</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An application for services will be denied when it is determined by the department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client is not eligible for or in need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 for respite care, the elderly waiver services are not needed on a regular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 needs are not met by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Needed services are not available or received from qualifying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83.28(2)</w:t>
      </w:r>
      <w:r>
        <w:rPr>
          <w:rFonts w:ascii="Times New Roman" w:hAnsi="Times New Roman"/>
          <w:b w:val="false"/>
          <w:i w:val="false"/>
          <w:color w:val="000000"/>
          <w:sz w:val="22"/>
        </w:rPr>
        <w:t> </w:t>
      </w:r>
      <w:r>
        <w:rPr>
          <w:rFonts w:ascii="Times New Roman" w:hAnsi="Times New Roman"/>
          <w:b w:val="false"/>
          <w:i/>
          <w:color w:val="000000"/>
          <w:sz w:val="22"/>
        </w:rPr>
        <w:t xml:space="preserve">Termination. </w:t>
      </w:r>
      <w:r>
        <w:rPr>
          <w:rFonts w:ascii="Times New Roman" w:hAnsi="Times New Roman"/>
          <w:b w:val="false"/>
          <w:i w:val="false"/>
          <w:color w:val="000000"/>
          <w:sz w:val="22"/>
        </w:rPr>
        <w:t>A particular service may be terminated when the department determines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w:t>
      </w:r>
      <w:hyperlink r:id="rId4">
        <w:r>
          <w:rPr>
            <w:rStyle w:val="Hyperlink"/>
            <w:rFonts w:ascii="Times New Roman" w:hAnsi="Times New Roman"/>
            <w:b w:val="false"/>
            <w:i w:val="false"/>
            <w:color w:val="000000"/>
            <w:sz w:val="22"/>
          </w:rPr>
          <w:t>441—paragraph 130.5(2)</w:t>
        </w:r>
      </w:hyperlink>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xml:space="preserve"> or </w:t>
      </w:r>
      <w:r>
        <w:rPr>
          <w:rFonts w:ascii="Times New Roman" w:hAnsi="Times New Roman"/>
          <w:b w:val="false"/>
          <w:i/>
          <w:color w:val="000000"/>
          <w:sz w:val="22"/>
        </w:rPr>
        <w:t>“h”</w:t>
      </w:r>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client receives care in a hospital or nursing facility for 120 days in any one stay for purposes other than respite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client receives elderly waiver services and the physical or mental condition of the client requires more care than can be provided in the client’s own home as determined by the case manager and the interdisciplinary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 providers are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83.28(3)</w:t>
      </w:r>
      <w:r>
        <w:rPr>
          <w:rFonts w:ascii="Times New Roman" w:hAnsi="Times New Roman"/>
          <w:b w:val="false"/>
          <w:i w:val="false"/>
          <w:color w:val="000000"/>
          <w:sz w:val="22"/>
        </w:rPr>
        <w:t> </w:t>
      </w:r>
      <w:r>
        <w:rPr>
          <w:rFonts w:ascii="Times New Roman" w:hAnsi="Times New Roman"/>
          <w:b w:val="false"/>
          <w:i/>
          <w:color w:val="000000"/>
          <w:sz w:val="22"/>
        </w:rPr>
        <w:t xml:space="preserve">Reduction. </w:t>
      </w:r>
      <w:r>
        <w:rPr>
          <w:rFonts w:ascii="Times New Roman" w:hAnsi="Times New Roman"/>
          <w:b w:val="false"/>
          <w:i w:val="false"/>
          <w:color w:val="000000"/>
          <w:sz w:val="22"/>
        </w:rPr>
        <w:t xml:space="preserve">Reduction of services will apply as specified in 441—paragraphs </w:t>
      </w:r>
      <w:hyperlink r:id="rId5">
        <w:r>
          <w:rPr>
            <w:rStyle w:val="Hyperlink"/>
            <w:rFonts w:ascii="Times New Roman" w:hAnsi="Times New Roman"/>
            <w:b w:val="false"/>
            <w:i w:val="false"/>
            <w:color w:val="000000"/>
            <w:sz w:val="22"/>
          </w:rPr>
          <w:t>130.5(3)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130.5.pdf" Type="http://schemas.openxmlformats.org/officeDocument/2006/relationships/hyperlink" Id="rId4"/>
    <Relationship TargetMode="External" Target="https://www.legis.iowa.gov/docs/iac/rule/441.130.5.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