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441—83.24</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Persons must contribute their predetermined client participation to the cost of elderly waiver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client participation. </w:t>
      </w:r>
      <w:r>
        <w:rPr>
          <w:rFonts w:ascii="Times New Roman" w:hAnsi="Times New Roman"/>
          <w:b w:val="false"/>
          <w:i w:val="false"/>
          <w:color w:val="000000"/>
          <w:sz w:val="22"/>
        </w:rPr>
        <w:t>Client participation will be computed by deducting an amount for the maintenance needs of the individual that is 300 percent of the maximum supplemental security income (SSI) grant for an individual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sum of the third-party payment and client participation equals or exceeds the reimbursement established by the service worker, Medicaid will make no payments for elderly waiver service providers. However, Medicaid will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