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elderly waiver.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elderly waiver program will be processed in 30 days unless the worker can document difficulty in locating and arranging services or circumstances beyond the worker’s control. In these cases a decision will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be given the choice between elderly waiver services and institutional care. The applicant, guardian, or attorney in fact under a durable power of attorney for health care shall sign the information submission tool specified in paragraph </w:t>
      </w:r>
      <w:hyperlink r:id="rId6">
        <w:r>
          <w:rPr>
            <w:rStyle w:val="Hyperlink"/>
            <w:rFonts w:ascii="Times New Roman" w:hAnsi="Times New Roman"/>
            <w:b w:val="false"/>
            <w:i w:val="false"/>
            <w:color w:val="000000"/>
            <w:sz w:val="22"/>
          </w:rPr>
          <w:t>83.22(1)</w:t>
        </w:r>
      </w:hyperlink>
      <w:r>
        <w:rPr>
          <w:rFonts w:ascii="Times New Roman" w:hAnsi="Times New Roman"/>
          <w:b w:val="false"/>
          <w:i/>
          <w:color w:val="000000"/>
          <w:sz w:val="22"/>
        </w:rPr>
        <w:t>“d,”</w:t>
      </w:r>
      <w:r>
        <w:rPr>
          <w:rFonts w:ascii="Times New Roman" w:hAnsi="Times New Roman"/>
          <w:b w:val="false"/>
          <w:i w:val="false"/>
          <w:color w:val="000000"/>
          <w:sz w:val="22"/>
        </w:rPr>
        <w:t xml:space="preserve"> indicating that the applicant has elected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persons whose income exceeds supplemental security income guidelines will not exist until the persons require care in a medical institution for a period of 30 consecutive days and will be effective no earlier than the first day of the month in which the 30-day period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member has been in a medical institution for 120 consecutive days for other than respite care or fails to meet eligibility criteria listed in rule </w:t>
      </w:r>
      <w:hyperlink r:id="rId7">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(249A). Members who are inpatients in a medical institution for 120 or more consecutive days for other than respite care will be terminated from elderly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8">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22.pdf" Type="http://schemas.openxmlformats.org/officeDocument/2006/relationships/hyperlink" Id="rId6"/>
    <Relationship TargetMode="External" Target="https://www.legis.iowa.gov/docs/iac/rule/441.83.22.pdf" Type="http://schemas.openxmlformats.org/officeDocument/2006/relationships/hyperlink" Id="rId7"/>
    <Relationship TargetMode="External" Target="https://www.legis.iowa.gov/docs/iac/rule/441.75.8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