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elderly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Sixty-five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for Medicaid as if in a medical institution pursuant to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in 441—paragraphs </w:t>
      </w:r>
      <w:hyperlink r:id="rId5">
        <w:r>
          <w:rPr>
            <w:rStyle w:val="Hyperlink"/>
            <w:rFonts w:ascii="Times New Roman" w:hAnsi="Times New Roman"/>
            <w:b w:val="false"/>
            <w:i w:val="false"/>
            <w:color w:val="000000"/>
            <w:sz w:val="22"/>
          </w:rPr>
          <w:t>75.82(2)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75.82(4)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as being in need of the intermediate or skilled level of care based, in part, on information submitted on the interRAI - Home Care (HC). The interRAI - HC is available on request from the department and other supporting documentation as relevant. Copies of the completed interRAI - HC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completed when the person applies for waiver services, upon request to report a significant change in the person’s condition, and annually for reassessment of the person’s level of care. The department will be responsible for determination of the initial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to need services as described in subrule </w:t>
      </w:r>
      <w:hyperlink r:id="rId7">
        <w:r>
          <w:rPr>
            <w:rStyle w:val="Hyperlink"/>
            <w:rFonts w:ascii="Times New Roman" w:hAnsi="Times New Roman"/>
            <w:b w:val="false"/>
            <w:i w:val="false"/>
            <w:color w:val="000000"/>
            <w:sz w:val="22"/>
          </w:rPr>
          <w:t>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8">
        <w:r>
          <w:rPr>
            <w:rStyle w:val="Hyperlink"/>
            <w:rFonts w:ascii="Times New Roman" w:hAnsi="Times New Roman"/>
            <w:b w:val="false"/>
            <w:i w:val="false"/>
            <w:color w:val="000000"/>
            <w:sz w:val="22"/>
          </w:rPr>
          <w:t>441—subrule 78.34(13)</w:t>
        </w:r>
      </w:hyperlink>
      <w:r>
        <w:rPr>
          <w:rFonts w:ascii="Times New Roman" w:hAnsi="Times New Roman"/>
          <w:b w:val="false"/>
          <w:i w:val="false"/>
          <w:color w:val="000000"/>
          <w:sz w:val="22"/>
        </w:rPr>
        <w:t>, residing in a living arrangement other than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service plan, and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Members under the elderly waiver will receive case management services from a provider qualified pursuant to rule </w:t>
      </w:r>
      <w:hyperlink r:id="rId9">
        <w:r>
          <w:rPr>
            <w:rStyle w:val="Hyperlink"/>
            <w:rFonts w:ascii="Times New Roman" w:hAnsi="Times New Roman"/>
            <w:b w:val="false"/>
            <w:i w:val="false"/>
            <w:color w:val="000000"/>
            <w:sz w:val="22"/>
          </w:rPr>
          <w:t>441—77.38</w:t>
        </w:r>
      </w:hyperlink>
      <w:r>
        <w:rPr>
          <w:rFonts w:ascii="Times New Roman" w:hAnsi="Times New Roman"/>
          <w:b w:val="false"/>
          <w:i w:val="false"/>
          <w:color w:val="000000"/>
          <w:sz w:val="22"/>
        </w:rPr>
        <w:t xml:space="preserve">(249A). Case management services will be provided as set forth in rules </w:t>
      </w:r>
      <w:hyperlink r:id="rId10">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11">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case manager will establish an interdisciplinary team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Composition. The interdisciplinary team will include the case manager and the member and, if appropriate, the member’s legal representative, family, service providers, and others directly involved in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Role. The team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based on the member’s needs and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Available and appropriate services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and safety issues for the member that indicate the need for an emergency plan, based on a risk assessment conducted before the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Emergency backup support and a crisis response system to address problems or issues arising when support services are interrupted or delayed or when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An applicant for elderly waiver services will have a service plan developed by a qualified provider of case management services under the elderly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included in the service plan will be appropriate to the problems and specific needs or disabilities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must be the least costly available to meet the service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completed before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reviewed at least annually and when there is any significant change in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 of service plan. </w:t>
      </w:r>
      <w:r>
        <w:rPr>
          <w:rFonts w:ascii="Times New Roman" w:hAnsi="Times New Roman"/>
          <w:b w:val="false"/>
          <w:i w:val="false"/>
          <w:color w:val="000000"/>
          <w:sz w:val="22"/>
        </w:rPr>
        <w:t>The service plan will include the following information based on the member’s current assessment and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and supports needed to meet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staff, people,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identified activities to encourage the member to make choices, to experience a sense of achievement, and to modify or continue participation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any restrictions on the member’s rights, including the need for the restriction and a plan to restore the rights. For this purpose, rights include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all Medicaid and non-Medicaid services that the member received at the time of waiver program enrollment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service provider responsible for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funding source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service that the member is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Indication of whether the member has elected the consumer choice option and, if so, the independent support broker and the financial management service that the member has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the services authorized in the service plan are the least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that identifies the supports available to the member in situations for which no approved service plan exists and that, if not addressed, may result in injury or harm to the member or other persons or in significant amounts of property damage. Emergency plans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risk assessment and the health and safety issues identified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emergency backup support and crisis response system identified by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backup staff designated by providers for applicable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Mode="External" Target="https://www.legis.iowa.gov/docs/iac/rule/441.75.82.pdf" Type="http://schemas.openxmlformats.org/officeDocument/2006/relationships/hyperlink" Id="rId5"/>
    <Relationship TargetMode="External" Target="https://www.legis.iowa.gov/docs/iac/rule/441.75.82.pdf" Type="http://schemas.openxmlformats.org/officeDocument/2006/relationships/hyperlink" Id="rId6"/>
    <Relationship TargetMode="External" Target="https://www.legis.iowa.gov/docs/iac/rule/441.83.22.pdf" Type="http://schemas.openxmlformats.org/officeDocument/2006/relationships/hyperlink" Id="rId7"/>
    <Relationship TargetMode="External" Target="https://www.legis.iowa.gov/docs/iac/rule/441.78.34.pdf" Type="http://schemas.openxmlformats.org/officeDocument/2006/relationships/hyperlink" Id="rId8"/>
    <Relationship TargetMode="External" Target="https://www.legis.iowa.gov/docs/iac/rule/441.77.38.pdf" Type="http://schemas.openxmlformats.org/officeDocument/2006/relationships/hyperlink" Id="rId9"/>
    <Relationship TargetMode="External" Target="https://www.legis.iowa.gov/docs/iac/rule/441.90.4.pdf" Type="http://schemas.openxmlformats.org/officeDocument/2006/relationships/hyperlink" Id="rId10"/>
    <Relationship TargetMode="External" Target="https://www.legis.iowa.gov/docs/iac/rule/441.90.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