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health and disability waiver services, a person must meet certain eligibility criteria and be determined to need a service(s) allowable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must be under the age of 65 and blind or disabled as determined by the receipt of social security disability benefits or by a disability determination made through the department. Disability determinations are made according to supplemental security income guidelines under </w:t>
      </w:r>
      <w:r>
        <w:rPr>
          <w:rFonts w:ascii="Times New Roman" w:hAnsi="Times New Roman"/>
          <w:b w:val="false"/>
          <w:i w:val="false"/>
          <w:color w:val="000000"/>
          <w:sz w:val="22"/>
        </w:rPr>
        <w:t>Title XVI of the Social Security Act</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shall meet the eligibility requirements of the supplemental security income program except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is under 18 years of age, unmarried and not the head of a household and is ineligible for supplemental security income because of the deeming of the parent’s(s’)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married and is ineligible for supplemental security income because of the deeming of the spouse’s income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ineligible for supplemental security income due to excess income and the person’s income does not exceed 300 percent of the maximum monthly payment for one person under 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is under 18 years of age and is ineligible for supplemental security income because of excess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must be certified as being in need of nursing facility or skilled nursing facility level of care or as being in need of care in an intermediate care facility for persons with an intellectual disability, based on information submitted on a completed information submission tool for children aged 3 and under, the interRAI - Pediatric Home Care (PEDS-HC) for those aged 4 to 20, or the interRAI - Home Care (HC) for those aged 21 to 64 and other supporting documentation as relevant. The information submission tool, the interRAI - PEDS-HC and the interRAI - HC are available upon request from Iowa Medicaid. Copies of the completed information submission tool for an individual are available to that individual from the individual’s case manager or MCO.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designated case manager shall use the completed assessment to develop the comprehensive service plan as specified in </w:t>
      </w:r>
      <w:hyperlink r:id="rId4">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Medicaid will be responsible for the initial determination of the member’s level of care certification. Iowa Medicaid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Health and disability waiver services will not be provided when the person is an inpatient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Iowa Medicaid for all reassessments, performed at least annually, that indicate a change in the member’s level of care. Iowa Medicaid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be eligible for interim medical monitoring and treatment services the member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Currently receiving home health agency services under rule </w:t>
      </w:r>
      <w:hyperlink r:id="rId5">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home health aide services for which the member is eligible must be maximized before the member accesses interim medical monitoring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Residing in the member’s family home or foster family home;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need of interim medical monitoring and treatment as ordered by a physician, nurse practitioner, clinical nurse specialist, or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must meet income and resource guidelines for Medicaid as if in a medical institution pursuant to </w:t>
      </w:r>
      <w:hyperlink r:id="rId6">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When a husband and wife who are living together both apply for the waiver, income and resource guidelines as specified in 441—paragraphs </w:t>
      </w:r>
      <w:hyperlink r:id="rId7">
        <w:r>
          <w:rPr>
            <w:rStyle w:val="Hyperlink"/>
            <w:rFonts w:ascii="Times New Roman" w:hAnsi="Times New Roman"/>
            <w:b w:val="false"/>
            <w:i w:val="false"/>
            <w:color w:val="000000"/>
            <w:sz w:val="22"/>
          </w:rPr>
          <w:t>75.82(2)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75.82(4)</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must have service needs that can be met by this waiver program. At a minimum a person must receive one billable unit of service under the waiver per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the consumer choices option as set forth in </w:t>
      </w:r>
      <w:hyperlink r:id="rId9">
        <w:r>
          <w:rPr>
            <w:rStyle w:val="Hyperlink"/>
            <w:rFonts w:ascii="Times New Roman" w:hAnsi="Times New Roman"/>
            <w:b w:val="false"/>
            <w:i w:val="false"/>
            <w:color w:val="000000"/>
            <w:sz w:val="22"/>
          </w:rPr>
          <w:t>441—subrule 78.34(13)</w:t>
        </w:r>
      </w:hyperlink>
      <w:r>
        <w:rPr>
          <w:rFonts w:ascii="Times New Roman" w:hAnsi="Times New Roman"/>
          <w:b w:val="false"/>
          <w:i w:val="false"/>
          <w:color w:val="000000"/>
          <w:sz w:val="22"/>
        </w:rPr>
        <w:t>, a person cannot be living in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83.2(2)</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shall have a service plan approved by the department that is developed by the designated case manager. This service plan must be completed prior to services provision and annually thereafter.</w:t>
      </w:r>
    </w:p>
    <w:p>
      <w:pPr>
        <w:spacing w:before="0" w:after="0"/>
        <w:ind w:left="120"/>
        <w:jc w:val="both"/>
      </w:pPr>
      <w:r>
        <w:rPr>
          <w:rFonts w:ascii="Times New Roman" w:hAnsi="Times New Roman"/>
          <w:b w:val="false"/>
          <w:i w:val="false"/>
          <w:color w:val="000000"/>
          <w:sz w:val="22"/>
        </w:rPr>
        <w:t>The designated case manager will establish the interdisciplinary team for the member and, with the team, identify the member’s need for service based on the member’s needs and desires as well as the availability and appropriateness of services, using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service plan will be based, in part, on information in the completed information submission tool listed in paragraph </w:t>
      </w:r>
      <w:hyperlink r:id="rId10">
        <w:r>
          <w:rPr>
            <w:rStyle w:val="Hyperlink"/>
            <w:rFonts w:ascii="Times New Roman" w:hAnsi="Times New Roman"/>
            <w:b w:val="false"/>
            <w:i w:val="false"/>
            <w:color w:val="000000"/>
            <w:sz w:val="22"/>
          </w:rPr>
          <w:t>83.2(1)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other supporting documentation as relevant. The designated case manager will have a face-to-face visit with the member at least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plans for persons aged 20 or under shall be developed to reflect use of all appropriate nonwaiver Medicaid services and so as not to replace or duplicate those services. The designated case manager shall list all nonwaiver Medicaid services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plans for persons aged 20 or under that include home health or nursing services will not be approved until a home health agency has made a request to cover the member’s service needs through nonwaiver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provided below, the total monthly cost of the health and disability waiver services, excluding the cost of home and vehicle modification services, shall not exceed the established aggregate monthly cost for level of care as follows:</w:t>
      </w:r>
    </w:p>
    <w:tbl>
      <w:tblPr>
        <w:tblW w:w="0" w:type="auto"/>
        <w:tblCellSpacing w:w="0" w:type="auto"/>
        <w:tblBorders>
          <w:top w:val="none"/>
          <w:left w:val="none"/>
          <w:bottom w:val="none"/>
          <w:right w:val="none"/>
          <w:insideH w:val="none"/>
          <w:insideV w:val="none"/>
        </w:tblBorders>
        <w:tblLayout w:type="fixed"/>
      </w:tblPr>
      <w:tblGrid>
        <w:gridCol w:w="3730"/>
        <w:gridCol w:w="3730"/>
        <w:gridCol w:w="3730"/>
      </w:tblGrid>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Skilled level of care</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Nursing level of care</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ICF/ID</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 $3,166.53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 $1,087.96</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 $4,244.04</w:t>
            </w:r>
          </w:p>
        </w:tc>
      </w:tr>
    </w:tbl>
    <w:p>
      <w:pPr>
        <w:spacing w:before="0" w:after="0"/>
        <w:ind w:left="120"/>
        <w:jc w:val="both"/>
      </w:pPr>
      <w:r>
        <w:rPr>
          <w:rFonts w:ascii="Times New Roman" w:hAnsi="Times New Roman"/>
          <w:b w:val="false"/>
          <w:i w:val="false"/>
          <w:color w:val="000000"/>
          <w:sz w:val="22"/>
        </w:rPr>
        <w:t xml:space="preserve">For members enrolled in the health and disability waiver in accordance with subrule </w:t>
      </w:r>
      <w:hyperlink r:id="rId11">
        <w:r>
          <w:rPr>
            <w:rStyle w:val="Hyperlink"/>
            <w:rFonts w:ascii="Times New Roman" w:hAnsi="Times New Roman"/>
            <w:b w:val="false"/>
            <w:i w:val="false"/>
            <w:color w:val="000000"/>
            <w:sz w:val="22"/>
          </w:rPr>
          <w:t>83.2(1)</w:t>
        </w:r>
      </w:hyperlink>
      <w:r>
        <w:rPr>
          <w:rFonts w:ascii="Times New Roman" w:hAnsi="Times New Roman"/>
          <w:b w:val="false"/>
          <w:i w:val="false"/>
          <w:color w:val="000000"/>
          <w:sz w:val="22"/>
        </w:rPr>
        <w:t xml:space="preserve">, when a member turns 21 years of age, the average monthly cost of services received through </w:t>
      </w:r>
      <w:hyperlink r:id="rId12">
        <w:r>
          <w:rPr>
            <w:rStyle w:val="Hyperlink"/>
            <w:rFonts w:ascii="Times New Roman" w:hAnsi="Times New Roman"/>
            <w:b w:val="false"/>
            <w:i w:val="false"/>
            <w:color w:val="000000"/>
            <w:sz w:val="22"/>
          </w:rPr>
          <w:t>441—subrule 78.9(10)</w:t>
        </w:r>
      </w:hyperlink>
      <w:r>
        <w:rPr>
          <w:rFonts w:ascii="Times New Roman" w:hAnsi="Times New Roman"/>
          <w:b w:val="false"/>
          <w:i w:val="false"/>
          <w:color w:val="000000"/>
          <w:sz w:val="22"/>
        </w:rPr>
        <w:t xml:space="preserve"> will be used to increase the monthly waiver budget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must request the revised waiver budget through the member’s case manager no earlier than two months before, and no later than six months after, the member’s twenty-first birthday. A renewal request must be received annually no earlier than two months before, and no later than six months after, each subsequent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waiver budget will be increased by the average monthly cost of state plan private duty nursing or personal care services for the member that was billed to and paid by Iowa Medicaid or an Iowa Medicaid-contracted MCO during the year in which the member is 20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Once the request is received by the department, the department will determine the average monthly cost pursuant to the claims data available at the time of the request. No subsequent claims data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revised waiver budget reflecting the average cost of state plan private duty nursing or personal care services will become effective on the later of the first day of the month of the member’s twenty-first birthday or the first day of the month of the completed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revised waiver budget will extend up to the first of the month following the member’s twenty-fifth birthday and will remain at the initially authorized amount for the member while aged 21 through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must be needed because all usual caregivers are unavailable to provide care due to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Employment. Interim medical monitoring and treatment services are to be received only during hours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Academic or vocational training. Interim medical monitoring and treatment services provided while a usual caregiver participates in postsecondary education or vocational training will be limited to 24 periods of no more than 30 days each per caregiver as documented by the service worker or targeted case manager. Time spent in high school completion, adult basic education, GED, or English as a second language does not count toward the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Absence from the home due to hospitalization, treatment for physical or mental illness, or death of the usual caregiver. Interim medical monitoring and treatment services under this subparagraph are limited to a maximum of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Search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 during job search will be limited to only those hours the usual caregiver is actually looking for employment, including travel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be provided under this paragraph only during the execution of one job search plan of up to 30 working days in a 12-month period, approved by the department service worker or targeted case manager pursuant to </w:t>
      </w:r>
      <w:hyperlink r:id="rId13">
        <w:r>
          <w:rPr>
            <w:rStyle w:val="Hyperlink"/>
            <w:rFonts w:ascii="Times New Roman" w:hAnsi="Times New Roman"/>
            <w:b w:val="false"/>
            <w:i w:val="false"/>
            <w:color w:val="000000"/>
            <w:sz w:val="22"/>
          </w:rPr>
          <w:t>441—subparagraph 170.2(2)</w:t>
        </w:r>
      </w:hyperlink>
      <w:r>
        <w:rPr>
          <w:rFonts w:ascii="Times New Roman" w:hAnsi="Times New Roman"/>
          <w:b w:val="false"/>
          <w:i/>
          <w:color w:val="000000"/>
          <w:sz w:val="22"/>
        </w:rPr>
        <w:t>“b”</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of job search contacts shall be furnished to the department service worker or targeted case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0.4.pdf" Type="http://schemas.openxmlformats.org/officeDocument/2006/relationships/hyperlink" Id="rId4"/>
    <Relationship TargetMode="External" Target="https://www.legis.iowa.gov/docs/iac/rule/441.78.9.pdf" Type="http://schemas.openxmlformats.org/officeDocument/2006/relationships/hyperlink" Id="rId5"/>
    <Relationship TargetMode="External" Target="https://www.legis.iowa.gov/docs/iac/chapter/441.75.pdf" Type="http://schemas.openxmlformats.org/officeDocument/2006/relationships/hyperlink" Id="rId6"/>
    <Relationship TargetMode="External" Target="https://www.legis.iowa.gov/docs/iac/rule/441.75.82.pdf" Type="http://schemas.openxmlformats.org/officeDocument/2006/relationships/hyperlink" Id="rId7"/>
    <Relationship TargetMode="External" Target="https://www.legis.iowa.gov/docs/iac/rule/441.75.82.pdf" Type="http://schemas.openxmlformats.org/officeDocument/2006/relationships/hyperlink" Id="rId8"/>
    <Relationship TargetMode="External" Target="https://www.legis.iowa.gov/docs/iac/rule/441.78.34.pdf" Type="http://schemas.openxmlformats.org/officeDocument/2006/relationships/hyperlink" Id="rId9"/>
    <Relationship TargetMode="External" Target="https://www.legis.iowa.gov/docs/iac/rule/441.83.2.pdf" Type="http://schemas.openxmlformats.org/officeDocument/2006/relationships/hyperlink" Id="rId10"/>
    <Relationship TargetMode="External" Target="https://www.legis.iowa.gov/docs/iac/rule/441.83.2.pdf" Type="http://schemas.openxmlformats.org/officeDocument/2006/relationships/hyperlink" Id="rId11"/>
    <Relationship TargetMode="External" Target="https://www.legis.iowa.gov/docs/iac/rule/441.78.9.pdf" Type="http://schemas.openxmlformats.org/officeDocument/2006/relationships/hyperlink" Id="rId12"/>
    <Relationship TargetMode="External" Target="https://www.legis.iowa.gov/docs/iac/rule/441.170.2.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