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441—83.125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The department will redetermine a member’s eligibility for the children’s mental health waiver at least once every 12 months or when there is significant change in the member’s situation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83.125(1)</w:t>
      </w:r>
      <w:r>
        <w:rPr>
          <w:rFonts w:ascii="Times New Roman" w:hAnsi="Times New Roman"/>
          <w:b w:val="false"/>
          <w:i w:val="false"/>
          <w:color w:val="000000"/>
          <w:sz w:val="22"/>
        </w:rPr>
        <w:t> </w:t>
      </w:r>
      <w:r>
        <w:rPr>
          <w:rFonts w:ascii="Times New Roman" w:hAnsi="Times New Roman"/>
          <w:b w:val="false"/>
          <w:i/>
          <w:color w:val="000000"/>
          <w:sz w:val="22"/>
        </w:rPr>
        <w:t xml:space="preserve">Eligibility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12 months, the department will review a member’s eligibility in accordance with procedures in rule </w:t>
      </w:r>
      <w:hyperlink r:id="rId4">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 xml:space="preserve">(249A). The review will verify continuing eligibility factors as specified in rule </w:t>
      </w:r>
      <w:hyperlink r:id="rId5">
        <w:r>
          <w:rPr>
            <w:rStyle w:val="Hyperlink"/>
            <w:rFonts w:ascii="Times New Roman" w:hAnsi="Times New Roman"/>
            <w:b w:val="false"/>
            <w:i w:val="false"/>
            <w:color w:val="000000"/>
            <w:sz w:val="22"/>
          </w:rPr>
          <w:t>441—83.122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an MCO will review the member’s need for continued care annually and recertify the member’s need for long-term care services, pursuant to rule </w:t>
      </w:r>
      <w:hyperlink r:id="rId6">
        <w:r>
          <w:rPr>
            <w:rStyle w:val="Hyperlink"/>
            <w:rFonts w:ascii="Times New Roman" w:hAnsi="Times New Roman"/>
            <w:b w:val="false"/>
            <w:i w:val="false"/>
            <w:color w:val="000000"/>
            <w:sz w:val="22"/>
          </w:rPr>
          <w:t>441—83.122</w:t>
        </w:r>
      </w:hyperlink>
      <w:r>
        <w:rPr>
          <w:rFonts w:ascii="Times New Roman" w:hAnsi="Times New Roman"/>
          <w:b w:val="false"/>
          <w:i w:val="false"/>
          <w:color w:val="000000"/>
          <w:sz w:val="22"/>
        </w:rPr>
        <w:t xml:space="preserve">(249A) and the appeal process in rule </w:t>
      </w:r>
      <w:hyperlink r:id="rId7">
        <w:r>
          <w:rPr>
            <w:rStyle w:val="Hyperlink"/>
            <w:rFonts w:ascii="Times New Roman" w:hAnsi="Times New Roman"/>
            <w:b w:val="false"/>
            <w:i w:val="false"/>
            <w:color w:val="000000"/>
            <w:sz w:val="22"/>
          </w:rPr>
          <w:t>441—83.129</w:t>
        </w:r>
      </w:hyperlink>
      <w:r>
        <w:rPr>
          <w:rFonts w:ascii="Times New Roman" w:hAnsi="Times New Roman"/>
          <w:b w:val="false"/>
          <w:i w:val="false"/>
          <w:color w:val="000000"/>
          <w:sz w:val="22"/>
        </w:rPr>
        <w:t xml:space="preserve">(249A), based on the completed information submission tool designated in subrule </w:t>
      </w:r>
      <w:hyperlink r:id="rId8">
        <w:r>
          <w:rPr>
            <w:rStyle w:val="Hyperlink"/>
            <w:rFonts w:ascii="Times New Roman" w:hAnsi="Times New Roman"/>
            <w:b w:val="false"/>
            <w:i w:val="false"/>
            <w:color w:val="000000"/>
            <w:sz w:val="22"/>
          </w:rPr>
          <w:t>83.122(3)</w:t>
        </w:r>
      </w:hyperlink>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Iowa Medicaid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83.125(2)</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eligibility. </w:t>
      </w:r>
      <w:r>
        <w:rPr>
          <w:rFonts w:ascii="Times New Roman" w:hAnsi="Times New Roman"/>
          <w:b w:val="false"/>
          <w:i w:val="false"/>
          <w:color w:val="000000"/>
          <w:sz w:val="22"/>
        </w:rPr>
        <w:t>A member’s waiver eligibility will continue until one of the following conditions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fails to meet eligibility criteria listed in rule </w:t>
      </w:r>
      <w:hyperlink r:id="rId9">
        <w:r>
          <w:rPr>
            <w:rStyle w:val="Hyperlink"/>
            <w:rFonts w:ascii="Times New Roman" w:hAnsi="Times New Roman"/>
            <w:b w:val="false"/>
            <w:i w:val="false"/>
            <w:color w:val="000000"/>
            <w:sz w:val="22"/>
          </w:rPr>
          <w:t>441—83.122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is an inpatient of a medical institution for 120 or more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the member has spent 120 consecutive days in a medical institution, the local office will terminate the member’s waiver eligibility and review the member for eligibility under other Medicaid coverage groups. The local office will notify the member and the member’s parents or legal guardian through a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returns home after 120 consecutive days, the member must reapply for children’s mental health waiver services, and Iowa Medicaid must redetermine the member’s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does not reside at the member’s natural home for a period of 60 consecutive days. After the member has resided outside the home for 60 consecutive days, the local office will terminate the member’s waiver eligibility and review the member for eligibility under other Medicaid coverage groups. The local office will notify the member and the member’s parents or legal guardian through a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83.125(3)</w:t>
      </w:r>
      <w:r>
        <w:rPr>
          <w:rFonts w:ascii="Times New Roman" w:hAnsi="Times New Roman"/>
          <w:b w:val="false"/>
          <w:i w:val="false"/>
          <w:color w:val="000000"/>
          <w:sz w:val="22"/>
        </w:rPr>
        <w:t> </w:t>
      </w:r>
      <w:r>
        <w:rPr>
          <w:rFonts w:ascii="Times New Roman" w:hAnsi="Times New Roman"/>
          <w:b w:val="false"/>
          <w:i/>
          <w:color w:val="000000"/>
          <w:sz w:val="22"/>
        </w:rPr>
        <w:t xml:space="preserve">Payment slot. </w:t>
      </w:r>
      <w:r>
        <w:rPr>
          <w:rFonts w:ascii="Times New Roman" w:hAnsi="Times New Roman"/>
          <w:b w:val="false"/>
          <w:i w:val="false"/>
          <w:color w:val="000000"/>
          <w:sz w:val="22"/>
        </w:rPr>
        <w:t>When a member loses waiver eligibility, the member’s assigned payment slot will revert for use to the next member on the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7.pdf" Type="http://schemas.openxmlformats.org/officeDocument/2006/relationships/hyperlink" Id="rId4"/>
    <Relationship TargetMode="External" Target="https://www.legis.iowa.gov/docs/iac/rule/441.83.122.pdf" Type="http://schemas.openxmlformats.org/officeDocument/2006/relationships/hyperlink" Id="rId5"/>
    <Relationship TargetMode="External" Target="https://www.legis.iowa.gov/docs/iac/rule/441.83.122.pdf" Type="http://schemas.openxmlformats.org/officeDocument/2006/relationships/hyperlink" Id="rId6"/>
    <Relationship TargetMode="External" Target="https://www.legis.iowa.gov/docs/iac/rule/441.83.129.pdf" Type="http://schemas.openxmlformats.org/officeDocument/2006/relationships/hyperlink" Id="rId7"/>
    <Relationship TargetMode="External" Target="https://www.legis.iowa.gov/docs/iac/rule/441.83.122.pdf" Type="http://schemas.openxmlformats.org/officeDocument/2006/relationships/hyperlink" Id="rId8"/>
    <Relationship TargetMode="External" Target="https://www.legis.iowa.gov/docs/iac/rule/441.83.12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