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441—83.124</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participation. </w:t>
      </w:r>
      <w:r>
        <w:rPr>
          <w:rFonts w:ascii="Times New Roman" w:hAnsi="Times New Roman"/>
          <w:b w:val="false"/>
          <w:i w:val="false"/>
          <w:color w:val="000000"/>
          <w:sz w:val="22"/>
        </w:rPr>
        <w:t>A member must contribute to the cost of children’s mental health waiver services to the extent of the member’s total income less 300 percent of the maximum monthly payment for one person under the federal SSI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