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441—83.122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children’s mental health waiver services, a member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member must be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83.122(2)</w:t>
      </w: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The member must be diagnosed with a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certification. </w:t>
      </w:r>
      <w:r>
        <w:rPr>
          <w:rFonts w:ascii="Times New Roman" w:hAnsi="Times New Roman"/>
          <w:b w:val="false"/>
          <w:i w:val="false"/>
          <w:color w:val="000000"/>
          <w:sz w:val="22"/>
        </w:rPr>
        <w:t>For initial application to the HCBS children’s mental health waiver program, psychological documentation that substantiates a mental health diagnosis of serious emotional disturbance as determined by a mental health professional must be current within the 12-month period before the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Ongoing certification. </w:t>
      </w:r>
      <w:r>
        <w:rPr>
          <w:rFonts w:ascii="Times New Roman" w:hAnsi="Times New Roman"/>
          <w:b w:val="false"/>
          <w:i w:val="false"/>
          <w:color w:val="000000"/>
          <w:sz w:val="22"/>
        </w:rPr>
        <w:t>A mental health professional must complete an annual evaluation that substantiates a mental health diagnosis of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83.122(3)</w:t>
      </w: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The applicant must be certified as being in need of a level of care that, but for the waiver, would be provided in a psychiatric hospital serving children under the age of 21. The department or an MCO will certify the applicant’s level of care annually based on information submitted on the interRAI Early Years for children aged 3 and under or on the interRAI - child and youth mental health (ChYMH) for those aged 4 to 20 and other supporting documentation as relevant. For those aged 12 to 18, the interRAI - adolescent supplement will also be completed in addition to the interRAI - ChYMH. The interRAI Early Years, interRAI - ChYMH and interRAI - adolescent supplement are available on request from the department. Copies of the completed information submission tool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r>
        <w:rPr>
          <w:rFonts w:ascii="Times New Roman" w:hAnsi="Times New Roman"/>
          <w:b w:val="false"/>
          <w:i w:val="false"/>
          <w:color w:val="000000"/>
          <w:sz w:val="22"/>
        </w:rPr>
        <w:t>The member must be eligible for Medicaid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eligible for Medicaid under a supplemental security income (SSI), SSI-related, FMAP, or FMAP-related coverage group;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eligible under the special income level (300 percent) coverage group;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Become eligible through application of the institutional deeming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Would be eligible for Medicaid if in a medical institution. For this purpose, deeming of parental or spousal income or resources ceases in the month after the month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83.122(5)</w:t>
      </w:r>
      <w:r>
        <w:rPr>
          <w:rFonts w:ascii="Times New Roman" w:hAnsi="Times New Roman"/>
          <w:b w:val="false"/>
          <w:i w:val="false"/>
          <w:color w:val="000000"/>
          <w:sz w:val="22"/>
        </w:rPr>
        <w:t> </w:t>
      </w:r>
      <w:r>
        <w:rPr>
          <w:rFonts w:ascii="Times New Roman" w:hAnsi="Times New Roman"/>
          <w:b w:val="false"/>
          <w:i/>
          <w:color w:val="000000"/>
          <w:sz w:val="22"/>
        </w:rPr>
        <w:t xml:space="preserve">Choice of program. </w:t>
      </w:r>
      <w:r>
        <w:rPr>
          <w:rFonts w:ascii="Times New Roman" w:hAnsi="Times New Roman"/>
          <w:b w:val="false"/>
          <w:i w:val="false"/>
          <w:color w:val="000000"/>
          <w:sz w:val="22"/>
        </w:rPr>
        <w:t>The applicant must choose HCBS children’s mental health waiver services over institutional care, as indicated by the signature of the applicant’s parent or legal guardian on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83.122(6)</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 xml:space="preserve">The member must have service needs that can be met under the children’s mental health waiver program, as documented in the service plan developed in accordance with rule </w:t>
      </w:r>
      <w:hyperlink r:id="rId4">
        <w:r>
          <w:rPr>
            <w:rStyle w:val="Hyperlink"/>
            <w:rFonts w:ascii="Times New Roman" w:hAnsi="Times New Roman"/>
            <w:b w:val="false"/>
            <w:i w:val="false"/>
            <w:color w:val="000000"/>
            <w:sz w:val="22"/>
          </w:rPr>
          <w:t>441—83.127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must be a recipient of case management or be identified to receive case management immediately following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cost of children’s mental health waiver services needed to meet the member’s needs, excluding the cost of environmental modifications, adaptive devices and therapeutic resources, cannot exceed $2,274.96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 minimum, each member must receive one billable unit of a children’s mental health waiver service per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not receive children’s mental health waiver services and foster family care services under </w:t>
      </w:r>
      <w:hyperlink r:id="rId5">
        <w:r>
          <w:rPr>
            <w:rStyle w:val="Hyperlink"/>
            <w:rFonts w:ascii="Times New Roman" w:hAnsi="Times New Roman"/>
            <w:b w:val="false"/>
            <w:i w:val="false"/>
            <w:color w:val="000000"/>
            <w:sz w:val="22"/>
          </w:rPr>
          <w:t>441—Chapter 202</w:t>
        </w:r>
      </w:hyperlink>
      <w:r>
        <w:rPr>
          <w:rFonts w:ascii="Times New Roman" w:hAnsi="Times New Roman"/>
          <w:b w:val="false"/>
          <w:i w:val="false"/>
          <w:color w:val="000000"/>
          <w:sz w:val="22"/>
        </w:rPr>
        <w:t xml:space="preserve">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member may be enrolled in only one HCBS waiver program at a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3.127.pdf" Type="http://schemas.openxmlformats.org/officeDocument/2006/relationships/hyperlink" Id="rId4"/>
    <Relationship TargetMode="External" Target="https://www.legis.iowa.gov/docs/iac/chapter/441.20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