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member’s current functioning in regard to the member’s situation, needs,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means the person designated to provide Medicaid targeted case management services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 a division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considering parental or spousal income or resources as income or resources of a member in determining eligibility for a member according to Supplemental Security Income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parent of a member or a legal guardian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home- and community-based services provided under a Medicaid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“IME QIO”</w:t>
      </w:r>
      <w:r>
        <w:rPr>
          <w:rFonts w:ascii="Times New Roman" w:hAnsi="Times New Roman"/>
          <w:b w:val="false"/>
          <w:i w:val="false"/>
          <w:color w:val="000000"/>
          <w:sz w:val="22"/>
        </w:rPr>
        <w:t> </w:t>
      </w:r>
      <w:r>
        <w:rPr>
          <w:rFonts w:ascii="Times New Roman" w:hAnsi="Times New Roman"/>
          <w:b w:val="false"/>
          <w:i w:val="false"/>
          <w:color w:val="000000"/>
          <w:sz w:val="22"/>
        </w:rPr>
        <w:t>means the entity contracted with the department that determines the level of care for members initially applying for or continuing to receive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member, the member’s family, and persons of varied professional and nonprofessional backgrounds with knowledge of the member’s needs, as designated by the member and the member’s family, who meet to develop a service plan based on the individualized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an intermediate care facility for persons with an intellectual disability, a psychiatric hospital or psychiatric medical institution for children, or a state mental health institute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up to the age of 18 who is included in a Medicaid coverage group listed in rule </w:t>
      </w:r>
      <w:hyperlink r:id="rId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and is a recipient of children’s mental health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meets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psychiatric nursing and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medical institution for children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member has been diagnosed with a serious emotional disturbance and an independent team as identified in </w:t>
      </w:r>
      <w:hyperlink r:id="rId6">
        <w:r>
          <w:rPr>
            <w:rStyle w:val="Hyperlink"/>
            <w:rFonts w:ascii="Times New Roman" w:hAnsi="Times New Roman"/>
            <w:b w:val="false"/>
            <w:i w:val="false"/>
            <w:color w:val="000000"/>
            <w:sz w:val="22"/>
          </w:rPr>
          <w:t>441—subrule 85.10(3)</w:t>
        </w:r>
      </w:hyperlink>
      <w:r>
        <w:rPr>
          <w:rFonts w:ascii="Times New Roman" w:hAnsi="Times New Roman"/>
          <w:b w:val="false"/>
          <w:i w:val="false"/>
          <w:color w:val="000000"/>
          <w:sz w:val="22"/>
        </w:rPr>
        <w:t xml:space="preserve"> has certified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emotional disturbance”</w:t>
      </w:r>
      <w:r>
        <w:rPr>
          <w:rFonts w:ascii="Times New Roman" w:hAnsi="Times New Roman"/>
          <w:b w:val="false"/>
          <w:i w:val="false"/>
          <w:color w:val="000000"/>
          <w:sz w:val="22"/>
        </w:rPr>
        <w:t> </w:t>
      </w:r>
      <w:r>
        <w:rPr>
          <w:rFonts w:ascii="Times New Roman" w:hAnsi="Times New Roman"/>
          <w:b w:val="false"/>
          <w:i w:val="false"/>
          <w:color w:val="000000"/>
          <w:sz w:val="22"/>
        </w:rPr>
        <w:t>means a diagnosable mental, behavioral, or emotional disorder that (1) is of sufficient duration to meet diagnostic criteria for the disorder specified by DSM-5 and (2) has resulted in a functional impairment that substantially interferes with or limits a member’s role or functioning in family, school, or community activities. “Serious emotional disturbance” does not include neurodevelopmental disorders, substance-related disorders, or conditions or problems classified in DSM-5 as “other conditions that may be a focus of clinical attention” unless these conditions co-occur with another diagnosable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that includes the member and, if appropriate, the member’s legal representative,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Medicaid case management services accredited under </w:t>
      </w:r>
      <w:hyperlink r:id="rId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for members eligible for the children’s mental health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“Waiver year”</w:t>
      </w:r>
      <w:r>
        <w:rPr>
          <w:rFonts w:ascii="Times New Roman" w:hAnsi="Times New Roman"/>
          <w:b w:val="false"/>
          <w:i w:val="false"/>
          <w:color w:val="000000"/>
          <w:sz w:val="22"/>
        </w:rPr>
        <w:t> </w:t>
      </w:r>
      <w:r>
        <w:rPr>
          <w:rFonts w:ascii="Times New Roman" w:hAnsi="Times New Roman"/>
          <w:b w:val="false"/>
          <w:i w:val="false"/>
          <w:color w:val="000000"/>
          <w:sz w:val="22"/>
        </w:rPr>
        <w:t>for the children’s mental health waiver means a 12-month period commencing on July 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5.1.pdf" Type="http://schemas.openxmlformats.org/officeDocument/2006/relationships/hyperlink" Id="rId5"/>
    <Relationship TargetMode="External" Target="https://www.legis.iowa.gov/docs/iac/rule/441.85.10.pdf" Type="http://schemas.openxmlformats.org/officeDocument/2006/relationships/hyperlink" Id="rId6"/>
    <Relationship TargetMode="External" Target="https://www.legis.iowa.gov/docs/iac/chapter/441.24.pdf" Type="http://schemas.openxmlformats.org/officeDocument/2006/relationships/hyperlink" Id="rId7"/>
    <Relationship TargetMode="External" Target="https://www.legis.iowa.gov/docs/iac/chapter/441.9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