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441—83.107</w:t>
      </w:r>
      <w:r>
        <w:rPr>
          <w:rFonts w:ascii="Times New Roman" w:hAnsi="Times New Roman"/>
          <w:b/>
          <w:i w:val="false"/>
          <w:color w:val="000000"/>
          <w:sz w:val="22"/>
        </w:rPr>
        <w:t xml:space="preserve">(249A) </w:t>
      </w:r>
      <w:r>
        <w:rPr>
          <w:rFonts w:ascii="Times New Roman" w:hAnsi="Times New Roman"/>
          <w:b/>
          <w:i w:val="false"/>
          <w:color w:val="000000"/>
          <w:sz w:val="22"/>
        </w:rPr>
        <w:t xml:space="preserve">Individual service plan. </w:t>
      </w:r>
      <w:r>
        <w:rPr>
          <w:rFonts w:ascii="Times New Roman" w:hAnsi="Times New Roman"/>
          <w:b w:val="false"/>
          <w:i w:val="false"/>
          <w:color w:val="000000"/>
          <w:sz w:val="22"/>
        </w:rPr>
        <w:t>An individualized service plan will be prepared and used for each HCBS physical disability waiver member. The service plan will be developed and approved by the member, the member’s interdisciplinary team and the designated case manager prior to services beginning and payment being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83.107(1)</w:t>
      </w:r>
      <w:r>
        <w:rPr>
          <w:rFonts w:ascii="Times New Roman" w:hAnsi="Times New Roman"/>
          <w:b w:val="false"/>
          <w:i w:val="false"/>
          <w:color w:val="000000"/>
          <w:sz w:val="22"/>
        </w:rPr>
        <w:t> </w:t>
      </w:r>
      <w:r>
        <w:rPr>
          <w:rFonts w:ascii="Times New Roman" w:hAnsi="Times New Roman"/>
          <w:b w:val="false"/>
          <w:i/>
          <w:color w:val="000000"/>
          <w:sz w:val="22"/>
        </w:rPr>
        <w:t xml:space="preserve">Information in plan. </w:t>
      </w:r>
      <w:r>
        <w:rPr>
          <w:rFonts w:ascii="Times New Roman" w:hAnsi="Times New Roman"/>
          <w:b w:val="false"/>
          <w:i w:val="false"/>
          <w:color w:val="000000"/>
          <w:sz w:val="22"/>
        </w:rPr>
        <w:t xml:space="preserve">The plan will be in accordance with </w:t>
      </w:r>
      <w:hyperlink r:id="rId4">
        <w:r>
          <w:rPr>
            <w:rStyle w:val="Hyperlink"/>
            <w:rFonts w:ascii="Times New Roman" w:hAnsi="Times New Roman"/>
            <w:b w:val="false"/>
            <w:i w:val="false"/>
            <w:color w:val="000000"/>
            <w:sz w:val="22"/>
          </w:rPr>
          <w:t>441—subrule 24.4(3)</w:t>
        </w:r>
      </w:hyperlink>
      <w:r>
        <w:rPr>
          <w:rFonts w:ascii="Times New Roman" w:hAnsi="Times New Roman"/>
          <w:b w:val="false"/>
          <w:i w:val="false"/>
          <w:color w:val="000000"/>
          <w:sz w:val="22"/>
        </w:rPr>
        <w:t xml:space="preserve"> and will additionally include the following information to assist in evaluating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services received by a member at the time of waiver program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all providers responsible for providing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service to be received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elected the member choices option and, if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independent support broker selected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management service selected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emergencies and identification of the supports available to the member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83.107(2)</w:t>
      </w:r>
      <w:r>
        <w:rPr>
          <w:rFonts w:ascii="Times New Roman" w:hAnsi="Times New Roman"/>
          <w:b w:val="false"/>
          <w:i w:val="false"/>
          <w:color w:val="000000"/>
          <w:sz w:val="22"/>
        </w:rPr>
        <w:t> </w:t>
      </w:r>
      <w:r>
        <w:rPr>
          <w:rFonts w:ascii="Times New Roman" w:hAnsi="Times New Roman"/>
          <w:b w:val="false"/>
          <w:i/>
          <w:color w:val="000000"/>
          <w:sz w:val="22"/>
        </w:rPr>
        <w:t xml:space="preserve">Annual assessment. </w:t>
      </w:r>
      <w:r>
        <w:rPr>
          <w:rFonts w:ascii="Times New Roman" w:hAnsi="Times New Roman"/>
          <w:b w:val="false"/>
          <w:i w:val="false"/>
          <w:color w:val="000000"/>
          <w:sz w:val="22"/>
        </w:rPr>
        <w:t xml:space="preserve">The department or an MCO will review the member’s need for continued care annually and recertify the member’s need for long-term care services, pursuant to paragraph </w:t>
      </w:r>
      <w:hyperlink r:id="rId5">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the appeal process in rule </w:t>
      </w:r>
      <w:hyperlink r:id="rId6">
        <w:r>
          <w:rPr>
            <w:rStyle w:val="Hyperlink"/>
            <w:rFonts w:ascii="Times New Roman" w:hAnsi="Times New Roman"/>
            <w:b w:val="false"/>
            <w:i w:val="false"/>
            <w:color w:val="000000"/>
            <w:sz w:val="22"/>
          </w:rPr>
          <w:t>441—83.109</w:t>
        </w:r>
      </w:hyperlink>
      <w:r>
        <w:rPr>
          <w:rFonts w:ascii="Times New Roman" w:hAnsi="Times New Roman"/>
          <w:b w:val="false"/>
          <w:i w:val="false"/>
          <w:color w:val="000000"/>
          <w:sz w:val="22"/>
        </w:rPr>
        <w:t xml:space="preserve">(249A), based on the appropriate information submission tool as listed in paragraph </w:t>
      </w:r>
      <w:hyperlink r:id="rId7">
        <w:r>
          <w:rPr>
            <w:rStyle w:val="Hyperlink"/>
            <w:rFonts w:ascii="Times New Roman" w:hAnsi="Times New Roman"/>
            <w:b w:val="false"/>
            <w:i w:val="false"/>
            <w:color w:val="000000"/>
            <w:sz w:val="22"/>
          </w:rPr>
          <w:t>83.102(1)</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other supporting documentation as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4.4.pdf" Type="http://schemas.openxmlformats.org/officeDocument/2006/relationships/hyperlink" Id="rId4"/>
    <Relationship TargetMode="External" Target="https://www.legis.iowa.gov/docs/iac/rule/441.83.102.pdf" Type="http://schemas.openxmlformats.org/officeDocument/2006/relationships/hyperlink" Id="rId5"/>
    <Relationship TargetMode="External" Target="https://www.legis.iowa.gov/docs/iac/rule/441.83.109.pdf" Type="http://schemas.openxmlformats.org/officeDocument/2006/relationships/hyperlink" Id="rId6"/>
    <Relationship TargetMode="External" Target="https://www.legis.iowa.gov/docs/iac/rule/441.83.10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