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441—83.104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Members who are financially eligible under </w:t>
      </w:r>
      <w:hyperlink r:id="rId4">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300 percent group) must contribute a client participation amount to the cost of physical disability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 maintenance needs allowance equal to 300 percent of the maximum supplemental security income (SSI) grant for an individual from the member’s total income. For a couple, client participation is determined as if each person were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physical disability waiver service, Medicaid will make no payments for the waiver service. However, Medicaid will make payments to other medical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