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441—83.103</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financial eligibility. </w:t>
      </w:r>
      <w:r>
        <w:rPr>
          <w:rFonts w:ascii="Times New Roman" w:hAnsi="Times New Roman"/>
          <w:b w:val="false"/>
          <w:i w:val="false"/>
          <w:color w:val="000000"/>
          <w:sz w:val="22"/>
        </w:rPr>
        <w:t xml:space="preserve">The application process as specified in rules </w:t>
      </w:r>
      <w:hyperlink r:id="rId4">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(249A) through </w:t>
      </w:r>
      <w:hyperlink r:id="rId5">
        <w:r>
          <w:rPr>
            <w:rStyle w:val="Hyperlink"/>
            <w:rFonts w:ascii="Times New Roman" w:hAnsi="Times New Roman"/>
            <w:b w:val="false"/>
            <w:i w:val="false"/>
            <w:color w:val="000000"/>
            <w:sz w:val="22"/>
          </w:rPr>
          <w:t>441—76.6</w:t>
        </w:r>
      </w:hyperlink>
      <w:r>
        <w:rPr>
          <w:rFonts w:ascii="Times New Roman" w:hAnsi="Times New Roman"/>
          <w:b w:val="false"/>
          <w:i w:val="false"/>
          <w:color w:val="000000"/>
          <w:sz w:val="22"/>
        </w:rPr>
        <w:t>(249A) will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83.103(2)</w:t>
      </w:r>
      <w:r>
        <w:rPr>
          <w:rFonts w:ascii="Times New Roman" w:hAnsi="Times New Roman"/>
          <w:b w:val="false"/>
          <w:i w:val="false"/>
          <w:color w:val="000000"/>
          <w:sz w:val="22"/>
        </w:rPr>
        <w:t> </w:t>
      </w:r>
      <w:r>
        <w:rPr>
          <w:rFonts w:ascii="Times New Roman" w:hAnsi="Times New Roman"/>
          <w:b w:val="false"/>
          <w:i/>
          <w:color w:val="000000"/>
          <w:sz w:val="22"/>
        </w:rPr>
        <w:t xml:space="preserve">Approval of application for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this waiver will be initiated on behalf of the applicant who is a resident of a medical institution with the applicant’s consent or with the consent of the applicant’s legal representative by the discharge planner of the medical facility where the applicant resides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discharge planner will contact the member’s MCO or designated case manager to arrange for completion of the appropriate information submission tool as listed in paragraph </w:t>
      </w:r>
      <w:hyperlink r:id="rId6">
        <w:r>
          <w:rPr>
            <w:rStyle w:val="Hyperlink"/>
            <w:rFonts w:ascii="Times New Roman" w:hAnsi="Times New Roman"/>
            <w:b w:val="false"/>
            <w:i w:val="false"/>
            <w:color w:val="000000"/>
            <w:sz w:val="22"/>
          </w:rPr>
          <w:t>83.102(1)</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completing the determination of the level of care needed by the applicant, the department will inform the income maintenance worker and the discharge planner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this waiver will be initiated by the applicant, the applicant’s parent or legal guardian, or the applicant’s attorney in fact under a durable power of attorney for health care on behalf of the applicant who is residing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MCO or the designated case manager will arrange for the completion of the appropriate information submission tool as listed in paragraph </w:t>
      </w:r>
      <w:hyperlink r:id="rId7">
        <w:r>
          <w:rPr>
            <w:rStyle w:val="Hyperlink"/>
            <w:rFonts w:ascii="Times New Roman" w:hAnsi="Times New Roman"/>
            <w:b w:val="false"/>
            <w:i w:val="false"/>
            <w:color w:val="000000"/>
            <w:sz w:val="22"/>
          </w:rPr>
          <w:t>83.102(1)</w:t>
        </w:r>
      </w:hyperlink>
      <w:r>
        <w:rPr>
          <w:rFonts w:ascii="Times New Roman" w:hAnsi="Times New Roman"/>
          <w:b w:val="false"/>
          <w:i/>
          <w:color w:val="000000"/>
          <w:sz w:val="22"/>
        </w:rPr>
        <w:t>“h”</w:t>
      </w:r>
      <w:r>
        <w:rPr>
          <w:rFonts w:ascii="Times New Roman" w:hAnsi="Times New Roman"/>
          <w:b w:val="false"/>
          <w:i w:val="false"/>
          <w:color w:val="000000"/>
          <w:sz w:val="22"/>
        </w:rPr>
        <w:t xml:space="preserve"> and submit it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completing the determination of the level of care needed by the applicant, the department will inform the income maintenance worker and the applicant, the applicant’s parent or legal guardian, or the applicant’s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this waiver will be effective as of the date when both the eligibility criteria in subrule </w:t>
      </w:r>
      <w:hyperlink r:id="rId8">
        <w:r>
          <w:rPr>
            <w:rStyle w:val="Hyperlink"/>
            <w:rFonts w:ascii="Times New Roman" w:hAnsi="Times New Roman"/>
            <w:b w:val="false"/>
            <w:i w:val="false"/>
            <w:color w:val="000000"/>
            <w:sz w:val="22"/>
          </w:rPr>
          <w:t>83.102(1)</w:t>
        </w:r>
      </w:hyperlink>
      <w:r>
        <w:rPr>
          <w:rFonts w:ascii="Times New Roman" w:hAnsi="Times New Roman"/>
          <w:b w:val="false"/>
          <w:i w:val="false"/>
          <w:color w:val="000000"/>
          <w:sz w:val="22"/>
        </w:rPr>
        <w:t xml:space="preserve"> and need for services in subrule </w:t>
      </w:r>
      <w:hyperlink r:id="rId9">
        <w:r>
          <w:rPr>
            <w:rStyle w:val="Hyperlink"/>
            <w:rFonts w:ascii="Times New Roman" w:hAnsi="Times New Roman"/>
            <w:b w:val="false"/>
            <w:i w:val="false"/>
            <w:color w:val="000000"/>
            <w:sz w:val="22"/>
          </w:rPr>
          <w:t>83.102(2)</w:t>
        </w:r>
      </w:hyperlink>
      <w:r>
        <w:rPr>
          <w:rFonts w:ascii="Times New Roman" w:hAnsi="Times New Roman"/>
          <w:b w:val="false"/>
          <w:i w:val="false"/>
          <w:color w:val="000000"/>
          <w:sz w:val="22"/>
        </w:rPr>
        <w:t xml:space="preserve"> have been established. Decisions will be mailed or given to the applicant, the applicant’s parent or legal guardian, or the applicant’s attorney in fact under a durable power of attorney for health care on the date when each eligibility determination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will be given the choice between waiver services and institutional care. The applicant or the applicant’s parent, legal guardian, or attorney in fact under a durable power of attorney for health care will sign the information submission tool, indicating that the applicant has elected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the applicant’s parent or guardian, or the applicant’s attorney in fact under a durable power of attorney for health care will cooperate with the designated case manager in the development of the service plan prior to the start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HCBS physical disability waiver services provided prior to both approvals of eligibility for the waiver cannot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HCBS physical disability waiver services are not available in conjunction with other HCBS waiver programs. The member may also receive in-home health-related care service if eligible for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83.103(3)</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waiver for persons who are already determined eligible for Medicaid is the date on which the person is determined to meet all of the criteria set forth in subrule </w:t>
      </w:r>
      <w:hyperlink r:id="rId10">
        <w:r>
          <w:rPr>
            <w:rStyle w:val="Hyperlink"/>
            <w:rFonts w:ascii="Times New Roman" w:hAnsi="Times New Roman"/>
            <w:b w:val="false"/>
            <w:i w:val="false"/>
            <w:color w:val="000000"/>
            <w:sz w:val="22"/>
          </w:rPr>
          <w:t>83.102(1)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waiver for persons who qualify for Medicaid due to eligibility for the waiver services is the date on which the person is determined to meet all of the criteria set forth in subrule </w:t>
      </w:r>
      <w:hyperlink r:id="rId11">
        <w:r>
          <w:rPr>
            <w:rStyle w:val="Hyperlink"/>
            <w:rFonts w:ascii="Times New Roman" w:hAnsi="Times New Roman"/>
            <w:b w:val="false"/>
            <w:i w:val="false"/>
            <w:color w:val="000000"/>
            <w:sz w:val="22"/>
          </w:rPr>
          <w:t>83.102(1)</w:t>
        </w:r>
      </w:hyperlink>
      <w:r>
        <w:rPr>
          <w:rFonts w:ascii="Times New Roman" w:hAnsi="Times New Roman"/>
          <w:b w:val="false"/>
          <w:i w:val="false"/>
          <w:color w:val="000000"/>
          <w:sz w:val="22"/>
        </w:rPr>
        <w:t xml:space="preserve"> and when the eligibility factors set forth in </w:t>
      </w:r>
      <w:hyperlink r:id="rId12">
        <w:r>
          <w:rPr>
            <w:rStyle w:val="Hyperlink"/>
            <w:rFonts w:ascii="Times New Roman" w:hAnsi="Times New Roman"/>
            <w:b w:val="false"/>
            <w:i w:val="false"/>
            <w:color w:val="000000"/>
            <w:sz w:val="22"/>
          </w:rPr>
          <w:t>441—paragraph 75.6(4)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for married persons, in rule </w:t>
      </w:r>
      <w:hyperlink r:id="rId13">
        <w:r>
          <w:rPr>
            <w:rStyle w:val="Hyperlink"/>
            <w:rFonts w:ascii="Times New Roman" w:hAnsi="Times New Roman"/>
            <w:b w:val="false"/>
            <w:i w:val="false"/>
            <w:color w:val="000000"/>
            <w:sz w:val="22"/>
          </w:rPr>
          <w:t>441—75.82</w:t>
        </w:r>
      </w:hyperlink>
      <w:r>
        <w:rPr>
          <w:rFonts w:ascii="Times New Roman" w:hAnsi="Times New Roman"/>
          <w:b w:val="false"/>
          <w:i w:val="false"/>
          <w:color w:val="000000"/>
          <w:sz w:val="22"/>
        </w:rPr>
        <w:t>(249A)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the waiver continues until the member fails to meet eligibility criteria listed in subrule </w:t>
      </w:r>
      <w:hyperlink r:id="rId14">
        <w:r>
          <w:rPr>
            <w:rStyle w:val="Hyperlink"/>
            <w:rFonts w:ascii="Times New Roman" w:hAnsi="Times New Roman"/>
            <w:b w:val="false"/>
            <w:i w:val="false"/>
            <w:color w:val="000000"/>
            <w:sz w:val="22"/>
          </w:rPr>
          <w:t>83.102(1)</w:t>
        </w:r>
      </w:hyperlink>
      <w:r>
        <w:rPr>
          <w:rFonts w:ascii="Times New Roman" w:hAnsi="Times New Roman"/>
          <w:b w:val="false"/>
          <w:i w:val="false"/>
          <w:color w:val="000000"/>
          <w:sz w:val="22"/>
        </w:rPr>
        <w:t xml:space="preserve">. Members who return to inpatient status in a medical institution for more than 120 consecutive days will be reviewed by Iowa Medicaid to determine additional inpatient needs for possible termination from the physical disability waiver. The member will be reviewed for eligibility under other Medicaid coverage groups in accordance with rule </w:t>
      </w:r>
      <w:hyperlink r:id="rId15">
        <w:r>
          <w:rPr>
            <w:rStyle w:val="Hyperlink"/>
            <w:rFonts w:ascii="Times New Roman" w:hAnsi="Times New Roman"/>
            <w:b w:val="false"/>
            <w:i w:val="false"/>
            <w:color w:val="000000"/>
            <w:sz w:val="22"/>
          </w:rPr>
          <w:t>441—76.17</w:t>
        </w:r>
      </w:hyperlink>
      <w:r>
        <w:rPr>
          <w:rFonts w:ascii="Times New Roman" w:hAnsi="Times New Roman"/>
          <w:b w:val="false"/>
          <w:i w:val="false"/>
          <w:color w:val="000000"/>
          <w:sz w:val="22"/>
        </w:rPr>
        <w:t>(249A). The member will be notified of that decision through a notice of decision.</w:t>
      </w:r>
    </w:p>
    <w:p>
      <w:pPr>
        <w:spacing w:before="0" w:after="0"/>
        <w:ind w:left="120"/>
        <w:jc w:val="both"/>
      </w:pPr>
      <w:r>
        <w:rPr>
          <w:rFonts w:ascii="Times New Roman" w:hAnsi="Times New Roman"/>
          <w:b w:val="false"/>
          <w:i w:val="false"/>
          <w:color w:val="000000"/>
          <w:sz w:val="22"/>
        </w:rPr>
        <w:t>If the member returns home before the effective date of the notice of decision and the member’s condition has not substantially changed, the denial may be rescinded and eligibility may continue.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83.103(4)</w:t>
      </w:r>
      <w:r>
        <w:rPr>
          <w:rFonts w:ascii="Times New Roman" w:hAnsi="Times New Roman"/>
          <w:b w:val="false"/>
          <w:i w:val="false"/>
          <w:color w:val="000000"/>
          <w:sz w:val="22"/>
        </w:rPr>
        <w:t> </w:t>
      </w:r>
      <w:r>
        <w:rPr>
          <w:rFonts w:ascii="Times New Roman" w:hAnsi="Times New Roman"/>
          <w:b w:val="false"/>
          <w:i/>
          <w:color w:val="000000"/>
          <w:sz w:val="22"/>
        </w:rPr>
        <w:t xml:space="preserve">Attribution of resources. </w:t>
      </w:r>
      <w:r>
        <w:rPr>
          <w:rFonts w:ascii="Times New Roman" w:hAnsi="Times New Roman"/>
          <w:b w:val="false"/>
          <w:i w:val="false"/>
          <w:color w:val="000000"/>
          <w:sz w:val="22"/>
        </w:rPr>
        <w:t xml:space="preserve">For the purposes of attributing resources as provided in rule </w:t>
      </w:r>
      <w:hyperlink r:id="rId16">
        <w:r>
          <w:rPr>
            <w:rStyle w:val="Hyperlink"/>
            <w:rFonts w:ascii="Times New Roman" w:hAnsi="Times New Roman"/>
            <w:b w:val="false"/>
            <w:i w:val="false"/>
            <w:color w:val="000000"/>
            <w:sz w:val="22"/>
          </w:rPr>
          <w:t>441—75.82</w:t>
        </w:r>
      </w:hyperlink>
      <w:r>
        <w:rPr>
          <w:rFonts w:ascii="Times New Roman" w:hAnsi="Times New Roman"/>
          <w:b w:val="false"/>
          <w:i w:val="false"/>
          <w:color w:val="000000"/>
          <w:sz w:val="22"/>
        </w:rPr>
        <w:t>(249A), the date on which the waiver member meets the institutional level of care requirement as determined by the department or an appeal decision will be used as the date of entry to the medical institution. Only one attribution of resources will be completed per person. Attributions completed for a prior institutionalization will be applied to the waiver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6.1.pdf" Type="http://schemas.openxmlformats.org/officeDocument/2006/relationships/hyperlink" Id="rId4"/>
    <Relationship TargetMode="External" Target="https://www.legis.iowa.gov/docs/iac/rule/441.76.6.pdf" Type="http://schemas.openxmlformats.org/officeDocument/2006/relationships/hyperlink" Id="rId5"/>
    <Relationship TargetMode="External" Target="https://www.legis.iowa.gov/docs/iac/rule/441.83.102.pdf" Type="http://schemas.openxmlformats.org/officeDocument/2006/relationships/hyperlink" Id="rId6"/>
    <Relationship TargetMode="External" Target="https://www.legis.iowa.gov/docs/iac/rule/441.83.102.pdf" Type="http://schemas.openxmlformats.org/officeDocument/2006/relationships/hyperlink" Id="rId7"/>
    <Relationship TargetMode="External" Target="https://www.legis.iowa.gov/docs/iac/rule/441.83.102.pdf" Type="http://schemas.openxmlformats.org/officeDocument/2006/relationships/hyperlink" Id="rId8"/>
    <Relationship TargetMode="External" Target="https://www.legis.iowa.gov/docs/iac/rule/441.83.102.pdf" Type="http://schemas.openxmlformats.org/officeDocument/2006/relationships/hyperlink" Id="rId9"/>
    <Relationship TargetMode="External" Target="https://www.legis.iowa.gov/docs/iac/rule/441.83.102.pdf" Type="http://schemas.openxmlformats.org/officeDocument/2006/relationships/hyperlink" Id="rId10"/>
    <Relationship TargetMode="External" Target="https://www.legis.iowa.gov/docs/iac/rule/441.83.102.pdf" Type="http://schemas.openxmlformats.org/officeDocument/2006/relationships/hyperlink" Id="rId11"/>
    <Relationship TargetMode="External" Target="https://www.legis.iowa.gov/docs/iac/rule/441.75.6.pdf" Type="http://schemas.openxmlformats.org/officeDocument/2006/relationships/hyperlink" Id="rId12"/>
    <Relationship TargetMode="External" Target="https://www.legis.iowa.gov/docs/iac/rule/441.75.82.pdf" Type="http://schemas.openxmlformats.org/officeDocument/2006/relationships/hyperlink" Id="rId13"/>
    <Relationship TargetMode="External" Target="https://www.legis.iowa.gov/docs/iac/rule/441.83.102.pdf" Type="http://schemas.openxmlformats.org/officeDocument/2006/relationships/hyperlink" Id="rId14"/>
    <Relationship TargetMode="External" Target="https://www.legis.iowa.gov/docs/iac/rule/441.76.17.pdf" Type="http://schemas.openxmlformats.org/officeDocument/2006/relationships/hyperlink" Id="rId15"/>
    <Relationship TargetMode="External" Target="https://www.legis.iowa.gov/docs/iac/rule/441.75.82.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