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441—83.101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“Adaptive”</w:t>
      </w:r>
      <w:r>
        <w:rPr>
          <w:rFonts w:ascii="Times New Roman" w:hAnsi="Times New Roman"/>
          <w:b w:val="false"/>
          <w:i w:val="false"/>
          <w:color w:val="000000"/>
          <w:sz w:val="22"/>
        </w:rPr>
        <w:t> </w:t>
      </w:r>
      <w:r>
        <w:rPr>
          <w:rFonts w:ascii="Times New Roman" w:hAnsi="Times New Roman"/>
          <w:b w:val="false"/>
          <w:i w:val="false"/>
          <w:color w:val="000000"/>
          <w:sz w:val="22"/>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with a physical disability aged 18 years to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w:t>
      </w:r>
      <w:r>
        <w:rPr>
          <w:rFonts w:ascii="Times New Roman" w:hAnsi="Times New Roman"/>
          <w:b w:val="false"/>
          <w:i w:val="false"/>
          <w:color w:val="000000"/>
          <w:sz w:val="22"/>
        </w:rPr>
        <w:t> </w:t>
      </w:r>
      <w:r>
        <w:rPr>
          <w:rFonts w:ascii="Times New Roman" w:hAnsi="Times New Roman"/>
          <w:b w:val="false"/>
          <w:i w:val="false"/>
          <w:color w:val="000000"/>
          <w:sz w:val="22"/>
        </w:rPr>
        <w:t>means that the services or supports or activities provided or undertaken by the organization are relevant to the member’s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regulating one’s own behavior including coping with demands from others, making choices, controlling impulses,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member’s income that the person must contribute to the cost of physical disability waiver services, exclusive of medical vendor payments, before Medicaid will provide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 for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a skilled nursing facility, intermediate care facility for persons with an intellectual disability,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disability”</w:t>
      </w:r>
      <w:r>
        <w:rPr>
          <w:rFonts w:ascii="Times New Roman" w:hAnsi="Times New Roman"/>
          <w:b w:val="false"/>
          <w:i w:val="false"/>
          <w:color w:val="000000"/>
          <w:sz w:val="22"/>
        </w:rPr>
        <w:t> </w:t>
      </w:r>
      <w:r>
        <w:rPr>
          <w:rFonts w:ascii="Times New Roman" w:hAnsi="Times New Roman"/>
          <w:b w:val="false"/>
          <w:i w:val="false"/>
          <w:color w:val="000000"/>
          <w:sz w:val="22"/>
        </w:rPr>
        <w:t>means a severe, chronic condition that is attributable to a physical impairment that results in substantial limitations of physical functioning in three or more of the following areas of major life activities: self-care, receptive and expressive language, learning, mobility, self-direction, capacity for independent living, and economic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5">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individual, institution, corporation, or public or private provider that is liable to pay part or all of the medical costs incurred as a result of injury or disease on behalf of a member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“Waiver year”</w:t>
      </w:r>
      <w:r>
        <w:rPr>
          <w:rFonts w:ascii="Times New Roman" w:hAnsi="Times New Roman"/>
          <w:b w:val="false"/>
          <w:i w:val="false"/>
          <w:color w:val="000000"/>
          <w:sz w:val="22"/>
        </w:rPr>
        <w:t> </w:t>
      </w:r>
      <w:r>
        <w:rPr>
          <w:rFonts w:ascii="Times New Roman" w:hAnsi="Times New Roman"/>
          <w:b w:val="false"/>
          <w:i w:val="false"/>
          <w:color w:val="000000"/>
          <w:sz w:val="22"/>
        </w:rPr>
        <w:t>means a 12-month period commencing on April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9.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