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441—80.6</w:t>
      </w:r>
      <w:r>
        <w:rPr>
          <w:rFonts w:ascii="Times New Roman" w:hAnsi="Times New Roman"/>
          <w:b/>
          <w:i w:val="false"/>
          <w:color w:val="000000"/>
          <w:sz w:val="22"/>
        </w:rPr>
        <w:t xml:space="preserve">(249A) </w:t>
      </w:r>
      <w:r>
        <w:rPr>
          <w:rFonts w:ascii="Times New Roman" w:hAnsi="Times New Roman"/>
          <w:b/>
          <w:i w:val="false"/>
          <w:color w:val="000000"/>
          <w:sz w:val="22"/>
        </w:rPr>
        <w:t xml:space="preserve">Health care data match program. </w:t>
      </w:r>
      <w:r>
        <w:rPr>
          <w:rFonts w:ascii="Times New Roman" w:hAnsi="Times New Roman"/>
          <w:b w:val="false"/>
          <w:i w:val="false"/>
          <w:color w:val="000000"/>
          <w:sz w:val="22"/>
        </w:rPr>
        <w:t>As a condition of doing business in Iowa, health insurers shall provide, upon the request of the state, information with respect to individuals who are eligible for or are provided medical assistance under the state’s medical assistance plan to determine (1) during what period the member or the member’s spouse or dependents may be or may have been covered by a health insurer and (2) the nature of the coverage that is or was provided by the health insurer. This requirement applies to self-insured plans, group health plans as defined in the federal Employee Retirement Income Security Act of 1974 (Public Law 93-406 as amended to July 1, 2026), service benefit plans, managed care organizations, pharmacy benefits managers, and other parties that are, by statute, contract, or agreement, legally responsible for payment of a claim for a health care item or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80.6(1)</w:t>
      </w:r>
      <w:r>
        <w:rPr>
          <w:rFonts w:ascii="Times New Roman" w:hAnsi="Times New Roman"/>
          <w:b w:val="false"/>
          <w:i w:val="false"/>
          <w:color w:val="000000"/>
          <w:sz w:val="22"/>
        </w:rPr>
        <w:t> </w:t>
      </w:r>
      <w:r>
        <w:rPr>
          <w:rFonts w:ascii="Times New Roman" w:hAnsi="Times New Roman"/>
          <w:b w:val="false"/>
          <w:i/>
          <w:color w:val="000000"/>
          <w:sz w:val="22"/>
        </w:rPr>
        <w:t xml:space="preserve">Agreement required. </w:t>
      </w:r>
      <w:r>
        <w:rPr>
          <w:rFonts w:ascii="Times New Roman" w:hAnsi="Times New Roman"/>
          <w:b w:val="false"/>
          <w:i w:val="false"/>
          <w:color w:val="000000"/>
          <w:sz w:val="22"/>
        </w:rPr>
        <w:t>The parties shall sign a data use agreement for the purposes of this rule. A data use agreement shall prescribe the specific detail elements required, any privacy protections, the manner in which information shall be provided to the department or its designee, and the acceptable uses of the information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initial provision of data shall include the data necessary to enable the department or its designee to match covered persons and identify third-party payors for the two-year period before the initial provision of the data. The data shall include the name, address, and identifying number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Ongoing monthly matches may be limited to changes in the data previously provided, including additional covered persons, with the effective dates of the changes.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data. </w:t>
      </w:r>
      <w:r>
        <w:rPr>
          <w:rFonts w:ascii="Times New Roman" w:hAnsi="Times New Roman"/>
          <w:b w:val="false"/>
          <w:i w:val="false"/>
          <w:color w:val="000000"/>
          <w:sz w:val="22"/>
        </w:rPr>
        <w:t>The exchange of information carried out under this rule shall be consistent with all laws, regulations, and rules relating to the confidentiality or privacy of personal information or medical records,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federal Health Insurance Portability and Accountability Act of 1996, Public Law 104-191, as amended to July 1, 2026;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Regulations promulgated in accordance with that Act and published in 45 CFR Parts 160 through 164 as amended to July 1, 2026.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0317D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