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441—80.4</w:t>
      </w:r>
      <w:r>
        <w:rPr>
          <w:rFonts w:ascii="Times New Roman" w:hAnsi="Times New Roman"/>
          <w:b/>
          <w:i w:val="false"/>
          <w:color w:val="000000"/>
          <w:sz w:val="22"/>
        </w:rPr>
        <w:t xml:space="preserve">(249A) </w:t>
      </w:r>
      <w:r>
        <w:rPr>
          <w:rFonts w:ascii="Times New Roman" w:hAnsi="Times New Roman"/>
          <w:b/>
          <w:i w:val="false"/>
          <w:color w:val="000000"/>
          <w:sz w:val="22"/>
        </w:rPr>
        <w:t xml:space="preserve">Authorization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cards. </w:t>
      </w:r>
      <w:r>
        <w:rPr>
          <w:rFonts w:ascii="Times New Roman" w:hAnsi="Times New Roman"/>
          <w:b w:val="false"/>
          <w:i w:val="false"/>
          <w:color w:val="000000"/>
          <w:sz w:val="22"/>
        </w:rPr>
        <w:t xml:space="preserve">The department will issue a medical assistance eligibility card to members for use in securing medical and health services available under the program except as provided in </w:t>
      </w:r>
      <w:hyperlink r:id="rId4">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the medical assistance eligibility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member’s eligibility is initially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the member’s request for replacement of a lost, stolen, or damaged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medical assistance eligibility card is valid only for months in which the member has established eligibility as indicated on the department’s eligibility verification system (ELVS). Payment will be made for services provided to an ineligible person when ELVS indicates that the person was eligible for the period in which the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