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441—80.2</w:t>
      </w:r>
      <w:r>
        <w:rPr>
          <w:rFonts w:ascii="Times New Roman" w:hAnsi="Times New Roman"/>
          <w:b/>
          <w:i w:val="false"/>
          <w:color w:val="000000"/>
          <w:sz w:val="22"/>
        </w:rPr>
        <w:t xml:space="preserve">(249A) </w:t>
      </w:r>
      <w:r>
        <w:rPr>
          <w:rFonts w:ascii="Times New Roman" w:hAnsi="Times New Roman"/>
          <w:b/>
          <w:i w:val="false"/>
          <w:color w:val="000000"/>
          <w:sz w:val="22"/>
        </w:rPr>
        <w:t xml:space="preserve">Payment from other sources. </w:t>
      </w:r>
      <w:r>
        <w:rPr>
          <w:rFonts w:ascii="Times New Roman" w:hAnsi="Times New Roman"/>
          <w:b w:val="false"/>
          <w:i w:val="false"/>
          <w:color w:val="000000"/>
          <w:sz w:val="22"/>
        </w:rPr>
        <w:t>This rule applies to claims for the department, managed care organizations, and the Public Health Associate Program (PHAP).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80.2(1)</w:t>
      </w:r>
      <w:r>
        <w:rPr>
          <w:rFonts w:ascii="Times New Roman" w:hAnsi="Times New Roman"/>
          <w:b w:val="false"/>
          <w:i w:val="false"/>
          <w:color w:val="000000"/>
          <w:sz w:val="22"/>
        </w:rPr>
        <w:t> </w:t>
      </w:r>
      <w:r>
        <w:rPr>
          <w:rFonts w:ascii="Times New Roman" w:hAnsi="Times New Roman"/>
          <w:b w:val="false"/>
          <w:i/>
          <w:color w:val="000000"/>
          <w:sz w:val="22"/>
        </w:rPr>
        <w:t xml:space="preserve">Payments deducted. </w:t>
      </w:r>
      <w:r>
        <w:rPr>
          <w:rFonts w:ascii="Times New Roman" w:hAnsi="Times New Roman"/>
          <w:b w:val="false"/>
          <w:i w:val="false"/>
          <w:color w:val="000000"/>
          <w:sz w:val="22"/>
        </w:rPr>
        <w:t>The amount of any payment made directly to the provider of care by the recipient, relatives, or any source will be deducted from the established cost standard for the service provided to establish the amount of payment to be made by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80.2(2)</w:t>
      </w:r>
      <w:r>
        <w:rPr>
          <w:rFonts w:ascii="Times New Roman" w:hAnsi="Times New Roman"/>
          <w:b w:val="false"/>
          <w:i w:val="false"/>
          <w:color w:val="000000"/>
          <w:sz w:val="22"/>
        </w:rPr>
        <w:t> </w:t>
      </w:r>
      <w:r>
        <w:rPr>
          <w:rFonts w:ascii="Times New Roman" w:hAnsi="Times New Roman"/>
          <w:b w:val="false"/>
          <w:i/>
          <w:color w:val="000000"/>
          <w:sz w:val="22"/>
        </w:rPr>
        <w:t xml:space="preserve">Third-party liability.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third-party liability for medical expenses exists, this resource will be utilized for payment of a claim before the Medicaid program makes payment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pays the total amount allowed under the Medicaid payment schedule and then seeks reimbursement from the liable third party. This “pay and chase” provision applies to claims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Preventive pediatric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services provided to a person for whom there is court-ordered medical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Otherwise authorized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claims must be clean claims. A clean claim is defined as a claim that has no defect or impropriety (including any lack of required substantiating documentation) or particular circumstance requiring special treatment that prevents timely payment of the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80.2(3)</w:t>
      </w:r>
      <w:r>
        <w:rPr>
          <w:rFonts w:ascii="Times New Roman" w:hAnsi="Times New Roman"/>
          <w:b w:val="false"/>
          <w:i w:val="false"/>
          <w:color w:val="000000"/>
          <w:sz w:val="22"/>
        </w:rPr>
        <w:t> </w:t>
      </w:r>
      <w:r>
        <w:rPr>
          <w:rFonts w:ascii="Times New Roman" w:hAnsi="Times New Roman"/>
          <w:b w:val="false"/>
          <w:i/>
          <w:color w:val="000000"/>
          <w:sz w:val="22"/>
        </w:rPr>
        <w:t xml:space="preserve">Recovery from third parties legally responsible to pay for health care. </w:t>
      </w:r>
      <w:r>
        <w:rPr>
          <w:rFonts w:ascii="Times New Roman" w:hAnsi="Times New Roman"/>
          <w:b w:val="false"/>
          <w:i w:val="false"/>
          <w:color w:val="000000"/>
          <w:sz w:val="22"/>
        </w:rPr>
        <w:t>Parties that are, by statute, contract, or agreement, legally responsible for payment of a claim for a health care item or service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 later than 60 days after receiving any inquiry by the state regarding a claim for payment for any health care item or service that is submitted no later than three years after the date of the provision of the item or service, respond to such inquiry, pursuant to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1396a(25)(I)(iii)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Agree not to deny any claim submitted by the state solely because of the date of submission of the claim, the type or format of the claim form, a failure to present proper documentation at the point of sale that is the basis of the claim, or, in the case of a responsible third party (other than the original Medicare fee-for-service program under Parts A and B of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Chapter 7, Subchapter XVIII as amended to July 1, 2026, a Medicare Advantage plan offered by a Medicare Advantage organization under Part C of </w:t>
      </w:r>
      <w:r>
        <w:rPr>
          <w:rFonts w:ascii="Times New Roman" w:hAnsi="Times New Roman"/>
          <w:b w:val="false"/>
          <w:i w:val="false"/>
          <w:color w:val="000000"/>
          <w:sz w:val="22"/>
        </w:rPr>
        <w:t xml:space="preserve">42 U.S.C. Chapter </w:t>
      </w:r>
      <w:hyperlink r:id="rId4">
        <w:r>
          <w:rPr>
            <w:rStyle w:val="Hyperlink"/>
            <w:rFonts w:ascii="Times New Roman" w:hAnsi="Times New Roman"/>
            <w:b w:val="false"/>
            <w:i w:val="false"/>
            <w:color w:val="000000"/>
            <w:sz w:val="22"/>
          </w:rPr>
          <w:t>7</w:t>
        </w:r>
      </w:hyperlink>
      <w:r>
        <w:rPr>
          <w:rFonts w:ascii="Times New Roman" w:hAnsi="Times New Roman"/>
          <w:b w:val="false"/>
          <w:i w:val="false"/>
          <w:color w:val="000000"/>
          <w:sz w:val="22"/>
        </w:rPr>
        <w:t>, Subchapter XVIII as amended to July 1, 2026, a reasonable cost of reimbursement plan unde</w:t>
      </w:r>
      <w:r>
        <w:rPr>
          <w:rFonts w:ascii="Times New Roman" w:hAnsi="Times New Roman"/>
          <w:b w:val="false"/>
          <w:i w:val="false"/>
          <w:color w:val="000000"/>
          <w:sz w:val="22"/>
        </w:rPr>
        <w:t xml:space="preserve">r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1395mm as amended to July 1, 2026, a health care prepayment plan under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1395l as amended to July 1, 2026, or a prescription drug plan (PDP) offered by a PDP sponsor under Part D of </w:t>
      </w:r>
      <w:r>
        <w:rPr>
          <w:rFonts w:ascii="Times New Roman" w:hAnsi="Times New Roman"/>
          <w:b w:val="false"/>
          <w:i w:val="false"/>
          <w:color w:val="000000"/>
          <w:sz w:val="22"/>
        </w:rPr>
        <w:t xml:space="preserve">42 U.S.C. Chapter 7, Subchapter XVIII as amended to July 1, 2026), a failure to obtain a prior authorization for the item or service for which the claim is being submitted, if both of the following conditions are </w:t>
      </w:r>
      <w:r>
        <w:rPr>
          <w:rFonts w:ascii="Times New Roman" w:hAnsi="Times New Roman"/>
          <w:b w:val="false"/>
          <w:i w:val="false"/>
          <w:color w:val="000000"/>
          <w:sz w:val="22"/>
        </w:rPr>
        <w:t>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claim is submitted to the entity by the state within the three-year period beginning on the date on which the item or service was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action by the state to enforce its rights with respect to the claim is commenced within six years of the date that the claim was submitted by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Reimburse the Medicaid program within 90 days of the request for repayment.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Agree not to deny any claim submitted by the state solely because of lack of prior authorization.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0317D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7.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