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441—79.9</w:t>
      </w:r>
      <w:r>
        <w:rPr>
          <w:rFonts w:ascii="Times New Roman" w:hAnsi="Times New Roman"/>
          <w:b/>
          <w:i w:val="false"/>
          <w:color w:val="000000"/>
          <w:sz w:val="22"/>
        </w:rPr>
        <w:t xml:space="preserve">(249A) </w:t>
      </w:r>
      <w:r>
        <w:rPr>
          <w:rFonts w:ascii="Times New Roman" w:hAnsi="Times New Roman"/>
          <w:b/>
          <w:i w:val="false"/>
          <w:color w:val="000000"/>
          <w:sz w:val="22"/>
        </w:rPr>
        <w:t xml:space="preserve">Requests for prior authorization. </w:t>
      </w:r>
      <w:r>
        <w:rPr>
          <w:rFonts w:ascii="Times New Roman" w:hAnsi="Times New Roman"/>
          <w:b w:val="false"/>
          <w:i w:val="false"/>
          <w:color w:val="000000"/>
          <w:sz w:val="22"/>
        </w:rPr>
        <w:t>This rule governs requests for prior authorization for services not provided through an MCO. For services provided through an MCO, the prior authorization request is submitted, reviewed, and authorized by the MCO.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79.9(1)</w:t>
      </w:r>
      <w:r>
        <w:rPr>
          <w:rFonts w:ascii="Times New Roman" w:hAnsi="Times New Roman"/>
          <w:b w:val="false"/>
          <w:i w:val="false"/>
          <w:color w:val="000000"/>
          <w:sz w:val="22"/>
        </w:rPr>
        <w:t> </w:t>
      </w:r>
      <w:r>
        <w:rPr>
          <w:rFonts w:ascii="Times New Roman" w:hAnsi="Times New Roman"/>
          <w:b w:val="false"/>
          <w:i w:val="false"/>
          <w:color w:val="000000"/>
          <w:sz w:val="22"/>
        </w:rPr>
        <w:t>Making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may submit requests for prior authorization for any items or procedures, other than prescription drugs, by mail or by facsimile transmission (fax) using an Outpatient Prior Authorization Request form, or electronically using the Accredited Standards Committee (ASC) X12N 278 transaction, Health Care Services Request for Review and Response. Requests for prior authorization for drugs must be submitted on any Request for Prior Authorization form designated for the drug being requested in the preferred drug list published pursuant to Iowa Code chapter </w:t>
      </w:r>
      <w:hyperlink r:id="rId4">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shall send requests for prior authorization to Iowa Medicaid. The request should address the relevant criteria applicable to the particular service, medication or equipment for which prior authorization is sought according to rule </w:t>
      </w:r>
      <w:hyperlink r:id="rId5">
        <w:r>
          <w:rPr>
            <w:rStyle w:val="Hyperlink"/>
            <w:rFonts w:ascii="Times New Roman" w:hAnsi="Times New Roman"/>
            <w:b w:val="false"/>
            <w:i w:val="false"/>
            <w:color w:val="000000"/>
            <w:sz w:val="22"/>
          </w:rPr>
          <w:t>441—78.28</w:t>
        </w:r>
      </w:hyperlink>
      <w:r>
        <w:rPr>
          <w:rFonts w:ascii="Times New Roman" w:hAnsi="Times New Roman"/>
          <w:b w:val="false"/>
          <w:i w:val="false"/>
          <w:color w:val="000000"/>
          <w:sz w:val="22"/>
        </w:rPr>
        <w:t>(249A). Copies of history and examination results may be attached to rather than incorporated in the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request for prior authorization submitted electronically requires attachments or supporting clinical documentation and a national electronic attachment has not been adopted, the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a Prior Authorization Attachment Control form as the cover sheet for the paper attachments or supporting clinical documentation;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Reference on that form the attachment control number submitted on the ASC X12N 278 electronic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79.9(2)</w:t>
      </w:r>
      <w:r>
        <w:rPr>
          <w:rFonts w:ascii="Times New Roman" w:hAnsi="Times New Roman"/>
          <w:b w:val="false"/>
          <w:i w:val="false"/>
          <w:color w:val="000000"/>
          <w:sz w:val="22"/>
        </w:rPr>
        <w:t> </w:t>
      </w:r>
      <w:r>
        <w:rPr>
          <w:rFonts w:ascii="Times New Roman" w:hAnsi="Times New Roman"/>
          <w:b w:val="false"/>
          <w:i w:val="false"/>
          <w:color w:val="000000"/>
          <w:sz w:val="22"/>
        </w:rPr>
        <w:t>The policy applies to services or items specifically designated as requiring prior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79.9(3)</w:t>
      </w:r>
      <w:r>
        <w:rPr>
          <w:rFonts w:ascii="Times New Roman" w:hAnsi="Times New Roman"/>
          <w:b w:val="false"/>
          <w:i w:val="false"/>
          <w:color w:val="000000"/>
          <w:sz w:val="22"/>
        </w:rPr>
        <w:t> </w:t>
      </w:r>
      <w:r>
        <w:rPr>
          <w:rFonts w:ascii="Times New Roman" w:hAnsi="Times New Roman"/>
          <w:b w:val="false"/>
          <w:i w:val="false"/>
          <w:color w:val="000000"/>
          <w:sz w:val="22"/>
        </w:rPr>
        <w:t>The provider shall receive a notice of approval or denial for all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prescription drugs, notices of approval or denial will be faxed to the prescriber and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Decisions regarding approval or denial of prescription drugs will be made within 24 hours from the receipt of the prior authorization request. In cases where the request is received during nonworking hours, the time limit will be construed to start with the first hour of the normal working day following the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Decisions regarding approval or denial for items or procedures other than prescription drugs will be made according to the time frames set forth in </w:t>
      </w:r>
      <w:r>
        <w:rPr>
          <w:rFonts w:ascii="Times New Roman" w:hAnsi="Times New Roman"/>
          <w:b w:val="false"/>
          <w:i w:val="false"/>
          <w:color w:val="000000"/>
          <w:sz w:val="22"/>
        </w:rPr>
        <w:t>42 CFR 438.210(d)</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79.9(4)</w:t>
      </w:r>
      <w:r>
        <w:rPr>
          <w:rFonts w:ascii="Times New Roman" w:hAnsi="Times New Roman"/>
          <w:b w:val="false"/>
          <w:i w:val="false"/>
          <w:color w:val="000000"/>
          <w:sz w:val="22"/>
        </w:rPr>
        <w:t> </w:t>
      </w:r>
      <w:r>
        <w:rPr>
          <w:rFonts w:ascii="Times New Roman" w:hAnsi="Times New Roman"/>
          <w:b w:val="false"/>
          <w:i w:val="false"/>
          <w:color w:val="000000"/>
          <w:sz w:val="22"/>
        </w:rPr>
        <w:t>Prior authorizations approved because a decision is not timely made shall not be considered a precedent for future similar requests.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79.9(5)</w:t>
      </w:r>
      <w:r>
        <w:rPr>
          <w:rFonts w:ascii="Times New Roman" w:hAnsi="Times New Roman"/>
          <w:b w:val="false"/>
          <w:i w:val="false"/>
          <w:color w:val="000000"/>
          <w:sz w:val="22"/>
        </w:rPr>
        <w:t> </w:t>
      </w:r>
      <w:r>
        <w:rPr>
          <w:rFonts w:ascii="Times New Roman" w:hAnsi="Times New Roman"/>
          <w:b w:val="false"/>
          <w:i w:val="false"/>
          <w:color w:val="000000"/>
          <w:sz w:val="22"/>
        </w:rPr>
        <w:t>Approved prior authorization applies to covered services and does not apply to the recipient’s eligibility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79.9(6)</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provider is unsure if an item or service is covered because it is rare or unusual, the provider may submit a request for prior approval in the same manner as other requests for prior approval in subrule </w:t>
      </w:r>
      <w:hyperlink r:id="rId6">
        <w:r>
          <w:rPr>
            <w:rStyle w:val="Hyperlink"/>
            <w:rFonts w:ascii="Times New Roman" w:hAnsi="Times New Roman"/>
            <w:b w:val="false"/>
            <w:i w:val="false"/>
            <w:color w:val="000000"/>
            <w:sz w:val="22"/>
          </w:rPr>
          <w:t>79.9(1)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79.9(7)</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for prior approval of services will be reviewed according to rule </w:t>
      </w:r>
      <w:hyperlink r:id="rId7">
        <w:r>
          <w:rPr>
            <w:rStyle w:val="Hyperlink"/>
            <w:rFonts w:ascii="Times New Roman" w:hAnsi="Times New Roman"/>
            <w:b w:val="false"/>
            <w:i w:val="false"/>
            <w:color w:val="000000"/>
            <w:sz w:val="22"/>
          </w:rPr>
          <w:t>441—79.9</w:t>
        </w:r>
      </w:hyperlink>
      <w:r>
        <w:rPr>
          <w:rFonts w:ascii="Times New Roman" w:hAnsi="Times New Roman"/>
          <w:b w:val="false"/>
          <w:i w:val="false"/>
          <w:color w:val="000000"/>
          <w:sz w:val="22"/>
        </w:rPr>
        <w:t xml:space="preserve">(249A) and the conditions for payment as established by rule in </w:t>
      </w:r>
      <w:hyperlink r:id="rId8">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ambiguity exists as to whether a particular item or service is covered, requests for prior approval will be reviewed according to the following criteria in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conditions for payment outlined in the provider manual with reference to coverage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determination made by the Medicare program unless specifically stated differently in state law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recommendation to the department from the appropriate advisory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there are other less expensive covered procedures that would be as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advice of an appropriate professional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Iowa Medicaid has not reached a decision on a request for prior authorization after 60 days from the date of receipt, the request will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79.9(8)</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duration and scope of the Medicaid program is outlined in 441—Chapters </w:t>
      </w:r>
      <w:hyperlink r:id="rId9">
        <w:r>
          <w:rPr>
            <w:rStyle w:val="Hyperlink"/>
            <w:rFonts w:ascii="Times New Roman" w:hAnsi="Times New Roman"/>
            <w:b w:val="false"/>
            <w:i w:val="false"/>
            <w:color w:val="000000"/>
            <w:sz w:val="22"/>
          </w:rPr>
          <w:t>78</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79</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81</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Additional clarification of policies is available in the provider manual distributed and updated to all participating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79.9(9)</w:t>
      </w:r>
      <w:r>
        <w:rPr>
          <w:rFonts w:ascii="Times New Roman" w:hAnsi="Times New Roman"/>
          <w:b w:val="false"/>
          <w:i w:val="false"/>
          <w:color w:val="000000"/>
          <w:sz w:val="22"/>
        </w:rPr>
        <w:t> </w:t>
      </w:r>
      <w:r>
        <w:rPr>
          <w:rFonts w:ascii="Times New Roman" w:hAnsi="Times New Roman"/>
          <w:b w:val="false"/>
          <w:i w:val="false"/>
          <w:color w:val="000000"/>
          <w:sz w:val="22"/>
        </w:rPr>
        <w:t xml:space="preserve">Iowa Medicaid will issue a notice of decision to the recipient upon a denial of request for prior approval pursuant to </w:t>
      </w:r>
      <w:hyperlink r:id="rId14">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Iowa Medicaid will mail the notice of decision to the recipient within five working days of the date the prior approval form is returned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79.9(10)</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prior approval is denied by Iowa Medicaid, the request may be resubmitted for reconsideration with additional information justifying the request. The aggrieved party may file an appeal in accordance with </w:t>
      </w:r>
      <w:hyperlink r:id="rId1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49A.pdf" Type="http://schemas.openxmlformats.org/officeDocument/2006/relationships/hyperlink" Id="rId4"/>
    <Relationship TargetMode="External" Target="https://www.legis.iowa.gov/docs/iac/rule/441.78.28.pdf" Type="http://schemas.openxmlformats.org/officeDocument/2006/relationships/hyperlink" Id="rId5"/>
    <Relationship TargetMode="External" Target="https://www.legis.iowa.gov/docs/iac/rule/441.79.9.pdf" Type="http://schemas.openxmlformats.org/officeDocument/2006/relationships/hyperlink" Id="rId6"/>
    <Relationship TargetMode="External" Target="https://www.legis.iowa.gov/docs/iac/rule/441.79.9.pdf" Type="http://schemas.openxmlformats.org/officeDocument/2006/relationships/hyperlink" Id="rId7"/>
    <Relationship TargetMode="External" Target="https://www.legis.iowa.gov/docs/iac/chapter/441.78.pdf" Type="http://schemas.openxmlformats.org/officeDocument/2006/relationships/hyperlink" Id="rId8"/>
    <Relationship TargetMode="External" Target="https://www.legis.iowa.gov/docs/iac/chapter/441.78.pdf" Type="http://schemas.openxmlformats.org/officeDocument/2006/relationships/hyperlink" Id="rId9"/>
    <Relationship TargetMode="External" Target="https://www.legis.iowa.gov/docs/iac/chapter/441.79.pdf" Type="http://schemas.openxmlformats.org/officeDocument/2006/relationships/hyperlink" Id="rId10"/>
    <Relationship TargetMode="External" Target="https://www.legis.iowa.gov/docs/iac/chapter/441.81.pdf" Type="http://schemas.openxmlformats.org/officeDocument/2006/relationships/hyperlink" Id="rId11"/>
    <Relationship TargetMode="External" Target="https://www.legis.iowa.gov/docs/iac/chapter/441.82.pdf" Type="http://schemas.openxmlformats.org/officeDocument/2006/relationships/hyperlink" Id="rId12"/>
    <Relationship TargetMode="External" Target="https://www.legis.iowa.gov/docs/iac/chapter/441.85.pdf" Type="http://schemas.openxmlformats.org/officeDocument/2006/relationships/hyperlink" Id="rId13"/>
    <Relationship TargetMode="External" Target="https://www.legis.iowa.gov/docs/iac/chapter/441.16.pdf" Type="http://schemas.openxmlformats.org/officeDocument/2006/relationships/hyperlink" Id="rId14"/>
    <Relationship TargetMode="External" Target="https://www.legis.iowa.gov/docs/iac/chapter/441.2506.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