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441—79.7</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Medicaid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co-chairperson’s term of office shall be two years. A public co-chairperson shall serve no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 shall have the right to vote on any issue before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the department. The initial ballot will be distributed by email prior to the first meeting in that fiscal year in order to identify the public co-chairperson prior to the council’s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be responsible for development of the agendas for meetings of the council. Agendas will be developed and distributed in compliance with the advance notice requirements of Iowa Code section </w:t>
      </w:r>
      <w:hyperlink r:id="rId4">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Agendas will be developed in consultation with department staff and the director, taking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Requests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preside over all council meetings, calling roll, determining a quorum, counting votes, and following the agenda for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co-chairpersons shall consult with the department on other administrative tasks to oversee the council and shall participate in workgroups and subcommittees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the council shall be as prescribed in Iowa Code section </w:t>
      </w:r>
      <w:hyperlink r:id="rId5">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Council membership of professional and business entities shall number five and be identified from a vote among those entities outlined in Iowa Code section </w:t>
      </w:r>
      <w:hyperlink r:id="rId6">
        <w:r>
          <w:rPr>
            <w:rStyle w:val="Hyperlink"/>
            <w:rFonts w:ascii="Times New Roman" w:hAnsi="Times New Roman"/>
            <w:b w:val="false"/>
            <w:i w:val="false"/>
            <w:color w:val="000000"/>
            <w:sz w:val="22"/>
          </w:rPr>
          <w:t>249A.4B(3)</w:t>
        </w:r>
      </w:hyperlink>
      <w:r>
        <w:rPr>
          <w:rFonts w:ascii="Times New Roman" w:hAnsi="Times New Roman"/>
          <w:b w:val="false"/>
          <w:i w:val="false"/>
          <w:color w:val="000000"/>
          <w:sz w:val="22"/>
        </w:rPr>
        <w:t>. Professional and business entities shall vote every fiscal year to identify the entities and their subsequent representatives that will represent the body of professional and business stakeholders on the council. Professional and business entities will also report their contact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term for all following elected members shall be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Elections shall be organized along the following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will be distributed at the quarterly meeting closest to the beginning of the next state fiscal year and will be collected in paper and electronic format and counted by department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entities that receive the most votes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any vacancy occur on the council, the entity that received the next highest number of votes in the most recent election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voting entity’s representative does not attend more than three consecutive meetings, the department will notify the entity and representative and verify whether an alternative contact is needed. If a fourth consecutive meeting is missed after the notification, the voting entity’s seat will be considered vacant and will be filled as outlined in subparagraph </w:t>
      </w:r>
      <w:hyperlink r:id="rId7">
        <w:r>
          <w:rPr>
            <w:rStyle w:val="Hyperlink"/>
            <w:rFonts w:ascii="Times New Roman" w:hAnsi="Times New Roman"/>
            <w:b w:val="false"/>
            <w:i w:val="false"/>
            <w:color w:val="000000"/>
            <w:sz w:val="22"/>
          </w:rPr>
          <w:t>79.7(2)</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Council membership of public representatives shall consist of five representatives, of whom one must be a recipient of medical assistance. All five public representatives will be appointed by the governor for staggered terms of two years each. All five public representatives will be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Council membership shall also consist of state agency and medical school partners, including representatives from Des Moines University Medicine and Health Sciences and the University of Iowa Carver College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Partner agency and medical school representatives will be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agency’s or school’s representative does not attend more than three consecutive meetings, the department will notify the agency or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 agencies and medical schools shall determine the length of appointment of their representatives. The department will confirm each representative’s participation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members of the general assembly shall be members of the council, each for a term of two years as provided in Iowa Code section </w:t>
      </w:r>
      <w:hyperlink r:id="rId8">
        <w:r>
          <w:rPr>
            <w:rStyle w:val="Hyperlink"/>
            <w:rFonts w:ascii="Times New Roman" w:hAnsi="Times New Roman"/>
            <w:b w:val="false"/>
            <w:i w:val="false"/>
            <w:color w:val="000000"/>
            <w:sz w:val="22"/>
          </w:rPr>
          <w:t>4A.13</w:t>
        </w:r>
      </w:hyperlink>
      <w:r>
        <w:rPr>
          <w:rFonts w:ascii="Times New Roman" w:hAnsi="Times New Roman"/>
          <w:b w:val="false"/>
          <w:i w:val="false"/>
          <w:color w:val="000000"/>
          <w:sz w:val="22"/>
        </w:rPr>
        <w:t>. Members appointed from the general assembly will serve as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members of the house of representatives, one appointed by the speaker of the house of representatives and one appointed by the minority leader of the house of representatives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members of the senate, one appointed by the president of the senate after consultation with the majority leader of the senate and one appointed by the minority leader of the senate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duties and meetings. </w:t>
      </w:r>
      <w:r>
        <w:rPr>
          <w:rFonts w:ascii="Times New Roman" w:hAnsi="Times New Roman"/>
          <w:b w:val="false"/>
          <w:i w:val="false"/>
          <w:color w:val="000000"/>
          <w:sz w:val="22"/>
        </w:rPr>
        <w:t>The responsibility of the medical assistance advisory council is to provide recommendations on the medical assistance program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 xml:space="preserve">Recommendations made by the council shall be advisory and not binding upon the department or the professional and business entities represented. The director will consider the recommendations in the director’s preparation of medical assistance budget recommendations to the council on human services pursuant to Iowa Code section </w:t>
      </w:r>
      <w:hyperlink r:id="rId9">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and implementation of medical assistance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The council shall be provided with information to deliberate and provide input on the medical assistance program. The council will use that input in making final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Council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meet quarterly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Meetings may be called by the co-chairpersons; upon written request of at least 50 percent of members;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Meetings shall be held in the Des Moines, Iowa, area unless other notification is given. Meetings will also be made available via teleconference,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professional and business entities represented and act as liaison between them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council shall perform other functions as may be provided by state or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93</w:t>
      </w:r>
      <w:r>
        <w:rPr>
          <w:rFonts w:ascii="Times New Roman" w:hAnsi="Times New Roman"/>
          <w:b w:val="false"/>
          <w:i w:val="false"/>
          <w:color w:val="000000"/>
          <w:sz w:val="22"/>
        </w:rPr>
        <w:t>, the council shall regularly review Medicaid managed care. The council shall submit an executive summary of pertinent information regarding deliberations during the prior year relating to Medicaid managed care to the department no later than November 15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94</w:t>
      </w:r>
      <w:r>
        <w:rPr>
          <w:rFonts w:ascii="Times New Roman" w:hAnsi="Times New Roman"/>
          <w:b w:val="false"/>
          <w:i w:val="false"/>
          <w:color w:val="000000"/>
          <w:sz w:val="22"/>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79.7(4)</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50 percent (five persons) of the current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quorum is present, a position is carried by two-thirds of the present council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Minutes of council meetings and other written materials developed by the council shall be distributed by the department to each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79.7(5)</w:t>
      </w:r>
      <w:r>
        <w:rPr>
          <w:rFonts w:ascii="Times New Roman" w:hAnsi="Times New Roman"/>
          <w:b w:val="false"/>
          <w:i w:val="false"/>
          <w:color w:val="000000"/>
          <w:sz w:val="22"/>
        </w:rPr>
        <w:t> </w:t>
      </w:r>
      <w:r>
        <w:rPr>
          <w:rFonts w:ascii="Times New Roman" w:hAnsi="Times New Roman"/>
          <w:b w:val="false"/>
          <w:i/>
          <w:color w:val="000000"/>
          <w:sz w:val="22"/>
        </w:rPr>
        <w:t xml:space="preserve">Expenses, staff support, and technical assistance. </w:t>
      </w:r>
      <w:r>
        <w:rPr>
          <w:rFonts w:ascii="Times New Roman" w:hAnsi="Times New Roman"/>
          <w:b w:val="false"/>
          <w:i w:val="false"/>
          <w:color w:val="000000"/>
          <w:sz w:val="22"/>
        </w:rPr>
        <w:t>Expenses of the council, such as those for clerical services, mailing, telephone, and meeting place, shall be the responsibility of the department. The department will arrange for a meeting place, related services, and accommodations. The department will provide staff support and independent technical assistance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reports, data, and proposed and final amendments to rules, laws, and guidelines to the council for its information,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present the annual budget for the medical assistance program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permit staff members to appear before the council to review and discuss specific information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current list of members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the organization of all council meetings and notice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in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minutes of the meetings of the council will be kept by the department. The council will review minutes before distribution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4.pdf" Type="http://schemas.openxmlformats.org/officeDocument/2006/relationships/hyperlink" Id="rId4"/>
    <Relationship TargetMode="External" Target="https://www.legis.iowa.gov/docs/ico/chapter/249A.4B.pdf" Type="http://schemas.openxmlformats.org/officeDocument/2006/relationships/hyperlink" Id="rId5"/>
    <Relationship TargetMode="External" Target="https://www.legis.iowa.gov/docs/ico/chapter/249A.4B.pdf" Type="http://schemas.openxmlformats.org/officeDocument/2006/relationships/hyperlink" Id="rId6"/>
    <Relationship TargetMode="External" Target="https://www.legis.iowa.gov/docs/iac/rule/441.79.7.pdf" Type="http://schemas.openxmlformats.org/officeDocument/2006/relationships/hyperlink" Id="rId7"/>
    <Relationship TargetMode="External" Target="https://www.legis.iowa.gov/docs/ico/chapter/4A.13.pdf" Type="http://schemas.openxmlformats.org/officeDocument/2006/relationships/hyperlink" Id="rId8"/>
    <Relationship TargetMode="External" Target="https://www.legis.iowa.gov/docs/ico/chapter/217.3.pdf" Type="http://schemas.openxmlformats.org/officeDocument/2006/relationships/hyperlink" Id="rId9"/>
    <Relationship TargetMode="External" Target="https://www.legis.iowa.gov/docs/ico/chapter/21.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