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441—79.6</w:t>
      </w:r>
      <w:r>
        <w:rPr>
          <w:rFonts w:ascii="Times New Roman" w:hAnsi="Times New Roman"/>
          <w:b/>
          <w:i w:val="false"/>
          <w:color w:val="000000"/>
          <w:sz w:val="22"/>
        </w:rPr>
        <w:t xml:space="preserve">(249A) </w:t>
      </w:r>
      <w:r>
        <w:rPr>
          <w:rFonts w:ascii="Times New Roman" w:hAnsi="Times New Roman"/>
          <w:b/>
          <w:i w:val="false"/>
          <w:color w:val="000000"/>
          <w:sz w:val="22"/>
        </w:rPr>
        <w:t xml:space="preserve">Provider participation agreement. </w:t>
      </w:r>
      <w:r>
        <w:rPr>
          <w:rFonts w:ascii="Times New Roman" w:hAnsi="Times New Roman"/>
          <w:b w:val="false"/>
          <w:i w:val="false"/>
          <w:color w:val="000000"/>
          <w:sz w:val="22"/>
        </w:rPr>
        <w:t>Providers of medical and health care wishing to participate in the program shall execute an agreement with the department on an Agreement Between Provider of Medical and Health Services and the Iowa Department of Health and Human Services Regarding Participation in Medical Assistance Program.</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 Dental providers are required to complete an Addendum to Dental Provider Agreement for Orthodontia to receive reimbursement under the early and periodic screening, diagnosis, and treatment program.</w:t>
      </w:r>
    </w:p>
    <w:p>
      <w:pPr>
        <w:spacing w:before="0" w:after="0"/>
        <w:ind w:left="120"/>
        <w:jc w:val="both"/>
      </w:pPr>
      <w:r>
        <w:rPr>
          <w:rFonts w:ascii="Times New Roman" w:hAnsi="Times New Roman"/>
          <w:b w:val="false"/>
          <w:i w:val="false"/>
          <w:color w:val="000000"/>
          <w:sz w:val="22"/>
        </w:rPr>
        <w:t>In these agreements, the provider agrees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79.6(1)</w:t>
      </w:r>
      <w:r>
        <w:rPr>
          <w:rFonts w:ascii="Times New Roman" w:hAnsi="Times New Roman"/>
          <w:b w:val="false"/>
          <w:i w:val="false"/>
          <w:color w:val="000000"/>
          <w:sz w:val="22"/>
        </w:rPr>
        <w:t> </w:t>
      </w:r>
      <w:r>
        <w:rPr>
          <w:rFonts w:ascii="Times New Roman" w:hAnsi="Times New Roman"/>
          <w:b w:val="false"/>
          <w:i w:val="false"/>
          <w:color w:val="000000"/>
          <w:sz w:val="22"/>
        </w:rPr>
        <w:t xml:space="preserve">To maintain clinical and fiscal records as specified in rule </w:t>
      </w:r>
      <w:hyperlink r:id="rId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79.6(2)</w:t>
      </w:r>
      <w:r>
        <w:rPr>
          <w:rFonts w:ascii="Times New Roman" w:hAnsi="Times New Roman"/>
          <w:b w:val="false"/>
          <w:i w:val="false"/>
          <w:color w:val="000000"/>
          <w:sz w:val="22"/>
        </w:rPr>
        <w:t> </w:t>
      </w:r>
      <w:r>
        <w:rPr>
          <w:rFonts w:ascii="Times New Roman" w:hAnsi="Times New Roman"/>
          <w:b w:val="false"/>
          <w:i w:val="false"/>
          <w:color w:val="000000"/>
          <w:sz w:val="22"/>
        </w:rPr>
        <w:t>That the charges as determined in accordance with the department’s policy shall be the full and complete charge for the services provided and no additional payment shall be claimed from the recipient or any other person for services provided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79.6(3)</w:t>
      </w:r>
      <w:r>
        <w:rPr>
          <w:rFonts w:ascii="Times New Roman" w:hAnsi="Times New Roman"/>
          <w:b w:val="false"/>
          <w:i w:val="false"/>
          <w:color w:val="000000"/>
          <w:sz w:val="22"/>
        </w:rPr>
        <w:t> </w:t>
      </w:r>
      <w:r>
        <w:rPr>
          <w:rFonts w:ascii="Times New Roman" w:hAnsi="Times New Roman"/>
          <w:b w:val="false"/>
          <w:i w:val="false"/>
          <w:color w:val="000000"/>
          <w:sz w:val="22"/>
        </w:rPr>
        <w:t>That it is understood that payment in satisfaction of the claim will be from federal and state funds and any false claims, statements, or documents, or concealment of a material fact may be prosecuted under applicable federal and state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9.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