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441—79.11</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preadmission review. </w:t>
      </w:r>
      <w:r>
        <w:rPr>
          <w:rFonts w:ascii="Times New Roman" w:hAnsi="Times New Roman"/>
          <w:b w:val="false"/>
          <w:i w:val="false"/>
          <w:color w:val="000000"/>
          <w:sz w:val="22"/>
        </w:rPr>
        <w:t xml:space="preserve">The inpatient hospitalization of Medicaid recipients is subject to preadmission review by Iowa Medicaid as required in rule </w:t>
      </w:r>
      <w:hyperlink r:id="rId4">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val="false"/>
          <w:color w:val="000000"/>
          <w:sz w:val="22"/>
        </w:rPr>
        <w:t>The patient’s admitting physician, the physician’s designee, or the hospital will contact Iowa Medicaid to request approval of Medicaid coverage for the hospitalization according to instructions issued to providers by Iowa Medicaid and instructions in the Medicaid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val="false"/>
          <w:color w:val="000000"/>
          <w:sz w:val="22"/>
        </w:rPr>
        <w:t>Medicaid payment will not be made to the hospital if Iowa Medicaid denies the procedure requested in the preadmission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a letter of denial to the patient, the physician, and the hospital when a request is denied. The patient, the physician, or the hospital may request a reconsideration of the decision by filing a written request with Iowa Medicaid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Iowa Medicaid according to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obtain preadmission review is waived when the patient is enrolled in the managed health care option known as patient management and proper authorization for the admission has been obtained from the patient manager as described in </w:t>
      </w:r>
      <w:hyperlink r:id="rId6">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3.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ac/chapter/441.7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