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441—79.10</w:t>
      </w:r>
      <w:r>
        <w:rPr>
          <w:rFonts w:ascii="Times New Roman" w:hAnsi="Times New Roman"/>
          <w:b/>
          <w:i w:val="false"/>
          <w:color w:val="000000"/>
          <w:sz w:val="22"/>
        </w:rPr>
        <w:t xml:space="preserve">(249A) </w:t>
      </w:r>
      <w:r>
        <w:rPr>
          <w:rFonts w:ascii="Times New Roman" w:hAnsi="Times New Roman"/>
          <w:b/>
          <w:i w:val="false"/>
          <w:color w:val="000000"/>
          <w:sz w:val="22"/>
        </w:rPr>
        <w:t xml:space="preserve">General provisions for Medicaid coverage applicable to all Medicaid providers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79.10(1)</w:t>
      </w:r>
      <w:r>
        <w:rPr>
          <w:rFonts w:ascii="Times New Roman" w:hAnsi="Times New Roman"/>
          <w:b w:val="false"/>
          <w:i w:val="false"/>
          <w:color w:val="000000"/>
          <w:sz w:val="22"/>
        </w:rPr>
        <w:t> </w:t>
      </w:r>
      <w:r>
        <w:rPr>
          <w:rFonts w:ascii="Times New Roman" w:hAnsi="Times New Roman"/>
          <w:b w:val="false"/>
          <w:i w:val="false"/>
          <w:color w:val="000000"/>
          <w:sz w:val="22"/>
        </w:rPr>
        <w:t>Medicare definitions and policies apply to services provided unless specifically defined differently.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79.10(2)</w:t>
      </w:r>
      <w:r>
        <w:rPr>
          <w:rFonts w:ascii="Times New Roman" w:hAnsi="Times New Roman"/>
          <w:b w:val="false"/>
          <w:i w:val="false"/>
          <w:color w:val="000000"/>
          <w:sz w:val="22"/>
        </w:rPr>
        <w:t> </w:t>
      </w:r>
      <w:r>
        <w:rPr>
          <w:rFonts w:ascii="Times New Roman" w:hAnsi="Times New Roman"/>
          <w:b w:val="false"/>
          <w:i w:val="false"/>
          <w:color w:val="000000"/>
          <w:sz w:val="22"/>
        </w:rPr>
        <w:t>The services covered by Medicaid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consistent with the diagnosis and treatment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in accordance with standards of good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required to meet the medical need of the patient and be for reasons other than the convenience of the patient or the patient’s practitioner or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the least costly type of service that would reasonably meet the medical need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eligible for federal financial participation unless specifically covered by state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within the scope of the licensure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provided with the full knowledge and consent of the recipient or someone acting in the recipient’s behalf unless otherwise required by law or court order or in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Be supplied by a provider who is eligible to participate in the Medicaid program. The provider must use the billing procedures and documentation requirements described in </w:t>
      </w:r>
      <w:hyperlink r:id="rId4">
        <w:r>
          <w:rPr>
            <w:rStyle w:val="Hyperlink"/>
            <w:rFonts w:ascii="Times New Roman" w:hAnsi="Times New Roman"/>
            <w:b w:val="false"/>
            <w:i w:val="false"/>
            <w:color w:val="000000"/>
            <w:sz w:val="22"/>
          </w:rPr>
          <w:t>441—Chapters 78</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79.10(3)</w:t>
      </w:r>
      <w:r>
        <w:rPr>
          <w:rFonts w:ascii="Times New Roman" w:hAnsi="Times New Roman"/>
          <w:b w:val="false"/>
          <w:i w:val="false"/>
          <w:color w:val="000000"/>
          <w:sz w:val="22"/>
        </w:rPr>
        <w:t> </w:t>
      </w:r>
      <w:r>
        <w:rPr>
          <w:rFonts w:ascii="Times New Roman" w:hAnsi="Times New Roman"/>
          <w:b w:val="false"/>
          <w:i w:val="false"/>
          <w:color w:val="000000"/>
          <w:sz w:val="22"/>
        </w:rPr>
        <w:t>Providers shall supply all the same services to Medicaid eligibles served by the provider as are offered to other clients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79.10(4)</w:t>
      </w:r>
      <w:r>
        <w:rPr>
          <w:rFonts w:ascii="Times New Roman" w:hAnsi="Times New Roman"/>
          <w:b w:val="false"/>
          <w:i w:val="false"/>
          <w:color w:val="000000"/>
          <w:sz w:val="22"/>
        </w:rPr>
        <w:t> </w:t>
      </w:r>
      <w:r>
        <w:rPr>
          <w:rFonts w:ascii="Times New Roman" w:hAnsi="Times New Roman"/>
          <w:b w:val="false"/>
          <w:i w:val="false"/>
          <w:color w:val="000000"/>
          <w:sz w:val="22"/>
        </w:rPr>
        <w:t>Recipients must be informed before the service is provided that the recipient will be responsible for the bill if a noncovered service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79.10(5)</w:t>
      </w:r>
      <w:r>
        <w:rPr>
          <w:rFonts w:ascii="Times New Roman" w:hAnsi="Times New Roman"/>
          <w:b w:val="false"/>
          <w:i w:val="false"/>
          <w:color w:val="000000"/>
          <w:sz w:val="22"/>
        </w:rPr>
        <w:t> </w:t>
      </w:r>
      <w:r>
        <w:rPr>
          <w:rFonts w:ascii="Times New Roman" w:hAnsi="Times New Roman"/>
          <w:b w:val="false"/>
          <w:i w:val="false"/>
          <w:color w:val="000000"/>
          <w:sz w:val="22"/>
        </w:rPr>
        <w:t>Medical services provided to a person while the person is an inmate of a public jail, prison, juvenile detention center, or other public penal institution of more than four beds are not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79.10(6)</w:t>
      </w:r>
      <w:r>
        <w:rPr>
          <w:rFonts w:ascii="Times New Roman" w:hAnsi="Times New Roman"/>
          <w:b w:val="false"/>
          <w:i w:val="false"/>
          <w:color w:val="000000"/>
          <w:sz w:val="22"/>
        </w:rPr>
        <w:t> </w:t>
      </w:r>
      <w:r>
        <w:rPr>
          <w:rFonts w:ascii="Times New Roman" w:hAnsi="Times New Roman"/>
          <w:b w:val="false"/>
          <w:i w:val="false"/>
          <w:color w:val="000000"/>
          <w:sz w:val="22"/>
        </w:rPr>
        <w:t>The acceptance of Medicaid funds by means of a prospective or interim rate creates an express trust. The Medicaid funds received constitute the trust res. The trust terminates when the rate is retrospectively adjusted or otherwise finalized and, if applicable, any Medicaid funds determined to be owed are repaid in full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79.10(7)</w:t>
      </w:r>
      <w:r>
        <w:rPr>
          <w:rFonts w:ascii="Times New Roman" w:hAnsi="Times New Roman"/>
          <w:b w:val="false"/>
          <w:i w:val="false"/>
          <w:color w:val="000000"/>
          <w:sz w:val="22"/>
        </w:rPr>
        <w:t> </w:t>
      </w:r>
      <w:r>
        <w:rPr>
          <w:rFonts w:ascii="Times New Roman" w:hAnsi="Times New Roman"/>
          <w:b w:val="false"/>
          <w:i w:val="false"/>
          <w:color w:val="000000"/>
          <w:sz w:val="22"/>
        </w:rPr>
        <w:t>Incorrect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6">
        <w:r>
          <w:rPr>
            <w:rStyle w:val="Hyperlink"/>
            <w:rFonts w:ascii="Times New Roman" w:hAnsi="Times New Roman"/>
            <w:b w:val="false"/>
            <w:i w:val="false"/>
            <w:color w:val="000000"/>
            <w:sz w:val="22"/>
          </w:rPr>
          <w:t>79.10(7)</w:t>
        </w:r>
        <w:r>
          <w:rPr>
            <w:rFonts w:ascii="Times New Roman" w:hAnsi="Times New Roman"/>
            <w:b w:val="false"/>
            <w:i/>
            <w:color w:val="000000"/>
            <w:sz w:val="22"/>
          </w:rPr>
          <w:t>“b,”</w:t>
        </w:r>
      </w:hyperlink>
      <w:r>
        <w:rPr>
          <w:rFonts w:ascii="Times New Roman" w:hAnsi="Times New Roman"/>
          <w:b w:val="false"/>
          <w:i w:val="false"/>
          <w:color w:val="000000"/>
          <w:sz w:val="22"/>
        </w:rPr>
        <w:t xml:space="preserve"> medical assistance funds are incorrectly paid whenever an individual who provided the service to the member for which the department paid was at the time service was provided the parent of a minor child, spouse, or legal representative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7">
        <w:r>
          <w:rPr>
            <w:rStyle w:val="Hyperlink"/>
            <w:rFonts w:ascii="Times New Roman" w:hAnsi="Times New Roman"/>
            <w:b w:val="false"/>
            <w:i w:val="false"/>
            <w:color w:val="000000"/>
            <w:sz w:val="22"/>
          </w:rPr>
          <w:t>79.10(7)</w:t>
        </w:r>
        <w:r>
          <w:rPr>
            <w:rFonts w:ascii="Times New Roman" w:hAnsi="Times New Roman"/>
            <w:b w:val="false"/>
            <w:i/>
            <w:color w:val="000000"/>
            <w:sz w:val="22"/>
          </w:rPr>
          <w:t>“a,”</w:t>
        </w:r>
      </w:hyperlink>
      <w:r>
        <w:rPr>
          <w:rFonts w:ascii="Times New Roman" w:hAnsi="Times New Roman"/>
          <w:b w:val="false"/>
          <w:i w:val="false"/>
          <w:color w:val="000000"/>
          <w:sz w:val="22"/>
        </w:rPr>
        <w:t xml:space="preserve"> medical assistance funds are not incorrectly paid when an individual who serves as a member’s legal representative provides services to the member under a home- and community-based services waiver attendant care agreement or under a consumer choices option employment agreement in effect on or after December 31, 2013. For purposes of this paragraph, “legal representative” means a person, including an attorney, who is authorized by law to act on behalf of the medical assistance program member but does not include the spouse of a member or the parent or stepparent of a member aged 17 or younger.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79.10(8)</w:t>
      </w:r>
      <w:r>
        <w:rPr>
          <w:rFonts w:ascii="Times New Roman" w:hAnsi="Times New Roman"/>
          <w:b w:val="false"/>
          <w:i w:val="false"/>
          <w:color w:val="000000"/>
          <w:sz w:val="22"/>
        </w:rPr>
        <w:t> </w:t>
      </w:r>
      <w:r>
        <w:rPr>
          <w:rFonts w:ascii="Times New Roman" w:hAnsi="Times New Roman"/>
          <w:b w:val="false"/>
          <w:i w:val="false"/>
          <w:color w:val="000000"/>
          <w:sz w:val="22"/>
        </w:rPr>
        <w:t>The rules of the medical assistance program shall not be construed to require payment of medical assistance funds, in whole or in part, directly or indirectly, overtly or covertly, for the provision of non-Medicaid services. The rules of the medical assistance program shall be interpreted in such a manner to minimize any risk that medical assistance funds might be used to subsidize services to persons other than members of the medical assistance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8.pdf" Type="http://schemas.openxmlformats.org/officeDocument/2006/relationships/hyperlink" Id="rId4"/>
    <Relationship TargetMode="External" Target="https://www.legis.iowa.gov/docs/iac/chapter/441.80.pdf" Type="http://schemas.openxmlformats.org/officeDocument/2006/relationships/hyperlink" Id="rId5"/>
    <Relationship TargetMode="External" Target="https://www.legis.iowa.gov/docs/iac/rule/441.79.10.pdf" Type="http://schemas.openxmlformats.org/officeDocument/2006/relationships/hyperlink" Id="rId6"/>
    <Relationship TargetMode="External" Target="https://www.legis.iowa.gov/docs/iac/rule/441.79.10.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