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441—79.1</w:t>
      </w:r>
      <w:r>
        <w:rPr>
          <w:rFonts w:ascii="Times New Roman" w:hAnsi="Times New Roman"/>
          <w:b/>
          <w:i w:val="false"/>
          <w:color w:val="000000"/>
          <w:sz w:val="22"/>
        </w:rPr>
        <w:t xml:space="preserve">(249A) </w:t>
      </w:r>
      <w:r>
        <w:rPr>
          <w:rFonts w:ascii="Times New Roman" w:hAnsi="Times New Roman"/>
          <w:b/>
          <w:i w:val="false"/>
          <w:color w:val="000000"/>
          <w:sz w:val="22"/>
        </w:rPr>
        <w:t xml:space="preserve">Principles governing reimbursement of providers of medical and health services. </w:t>
      </w:r>
      <w:r>
        <w:rPr>
          <w:rFonts w:ascii="Times New Roman" w:hAnsi="Times New Roman"/>
          <w:b w:val="false"/>
          <w:i w:val="false"/>
          <w:color w:val="000000"/>
          <w:sz w:val="22"/>
        </w:rPr>
        <w:t>The basis of payment for services rendered by providers of services participating in the medical assistance program is either a system based on the provider’s allowable costs of operation or a fee schedule. Generally, institutional types of providers such as hospitals and nursing facilities are reimbursed on a cost-related basis, and practitioners such as physicians, dentists, optometrists, and similar providers are reimbursed on the basis of a fee schedule. Providers of service must accept reimbursement based upon the department’s methodology without making any additional charge to the member.</w:t>
      </w:r>
    </w:p>
    <w:p>
      <w:pPr>
        <w:spacing w:before="0" w:after="0"/>
        <w:ind w:left="120"/>
        <w:jc w:val="both"/>
      </w:pPr>
      <w:r>
        <w:rPr>
          <w:rFonts w:ascii="Times New Roman" w:hAnsi="Times New Roman"/>
          <w:b w:val="false"/>
          <w:i w:val="false"/>
          <w:color w:val="000000"/>
          <w:sz w:val="22"/>
        </w:rPr>
        <w:t xml:space="preserve">For purposes of this chapter, “managed care organization” or “MCO” means an entity that (1) is under contract with the department to provide services to Medicaid recipients and (2) meets the definition of “health maintenance organization” as defined in Iowa Code section </w:t>
      </w:r>
      <w:hyperlink r:id="rId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w:t>
      </w:r>
      <w:r>
        <w:rPr>
          <w:rFonts w:ascii="Times New Roman" w:hAnsi="Times New Roman"/>
          <w:b w:val="false"/>
          <w:i w:val="false"/>
          <w:color w:val="000000"/>
          <w:sz w:val="22"/>
        </w:rPr>
        <w:t> </w:t>
      </w:r>
      <w:r>
        <w:rPr>
          <w:rFonts w:ascii="Times New Roman" w:hAnsi="Times New Roman"/>
          <w:b w:val="false"/>
          <w:i/>
          <w:color w:val="000000"/>
          <w:sz w:val="22"/>
        </w:rPr>
        <w:t xml:space="preserve">Types of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Prospective cost-related. </w:t>
      </w:r>
      <w:r>
        <w:rPr>
          <w:rFonts w:ascii="Times New Roman" w:hAnsi="Times New Roman"/>
          <w:b w:val="false"/>
          <w:i w:val="false"/>
          <w:color w:val="000000"/>
          <w:sz w:val="22"/>
        </w:rPr>
        <w:t>Providers are reimbursed on the basis of a per diem rate calculated prospectively for each participating provider based on reasonable and proper costs of operation. The rate is determined by establishing a base year per diem rate to which an annual index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Retrospective cost-related. </w:t>
      </w:r>
      <w:r>
        <w:rPr>
          <w:rFonts w:ascii="Times New Roman" w:hAnsi="Times New Roman"/>
          <w:b w:val="false"/>
          <w:i w:val="false"/>
          <w:color w:val="000000"/>
          <w:sz w:val="22"/>
        </w:rPr>
        <w:t>Providers are reimbursed on the basis of a per unit rate calculated retrospectively for each participating provider based on reasonable and proper costs of operation with suitable retroactive adjustments based on submission of financial and statistical reports by the provider. The retroactive adjustment represents the difference between the amount received by the provider during the year for covered services and the amount determined in accordance with an accepted method of cost apportionment (generally the Medicare principles of apportionment) to be the actual cost of service rendered medical assistance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 schedules. </w:t>
      </w:r>
      <w:r>
        <w:rPr>
          <w:rFonts w:ascii="Times New Roman" w:hAnsi="Times New Roman"/>
          <w:b w:val="false"/>
          <w:i w:val="false"/>
          <w:color w:val="000000"/>
          <w:sz w:val="22"/>
        </w:rPr>
        <w:t>Fees for the various procedures involved are determined by the department with advice and consultation from the appropriate professional group. The fees are intended to reflect the amount of resources (time, training, experience) involved in each procedure. Individual adjustments will be made periodically to correct any inequity or to add new procedures or eliminate or modify others. If product cost is involved in addition to service, reimbursement is based either on a fixed fee, wholesale cost, or on actual acquisition cost of the product to the provider, or product cost is included as part of the fee schedule. Providers on fee schedules are reimbursed the lower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actual charge made by the provider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maximum allowance under the fee schedule for the item of service in question.</w:t>
      </w:r>
    </w:p>
    <w:p>
      <w:pPr>
        <w:spacing w:before="0" w:after="0"/>
        <w:ind w:left="120"/>
        <w:jc w:val="both"/>
      </w:pPr>
      <w:r>
        <w:rPr>
          <w:rFonts w:ascii="Times New Roman" w:hAnsi="Times New Roman"/>
          <w:b w:val="false"/>
          <w:i w:val="false"/>
          <w:color w:val="000000"/>
          <w:sz w:val="22"/>
        </w:rPr>
        <w:t>Payment levels for fee schedule providers of service will be increased on an annual basis by an economic index reflecting overall inflation as well as inflation in office practice expenses of the particular provider category involved to the extent data is available. Annual increases will be made on July 1 of each year.</w:t>
      </w:r>
    </w:p>
    <w:p>
      <w:pPr>
        <w:spacing w:before="0" w:after="0"/>
        <w:ind w:left="120"/>
        <w:jc w:val="both"/>
      </w:pPr>
      <w:r>
        <w:rPr>
          <w:rFonts w:ascii="Times New Roman" w:hAnsi="Times New Roman"/>
          <w:b w:val="false"/>
          <w:i w:val="false"/>
          <w:color w:val="000000"/>
          <w:sz w:val="22"/>
        </w:rPr>
        <w:t xml:space="preserve">There are some variations in this methodology that are applicable to certain providers. These are set forth below in subrules </w:t>
      </w:r>
      <w:hyperlink r:id="rId5">
        <w:r>
          <w:rPr>
            <w:rStyle w:val="Hyperlink"/>
            <w:rFonts w:ascii="Times New Roman" w:hAnsi="Times New Roman"/>
            <w:b w:val="false"/>
            <w:i w:val="false"/>
            <w:color w:val="000000"/>
            <w:sz w:val="22"/>
          </w:rPr>
          <w:t>79.1(3)</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79.1(8)</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79.1(15)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Fee schedules in effect for the providers covered by fee schedules can be obtained from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Retrospectively limited prospective rates. </w:t>
      </w:r>
      <w:r>
        <w:rPr>
          <w:rFonts w:ascii="Times New Roman" w:hAnsi="Times New Roman"/>
          <w:b w:val="false"/>
          <w:i w:val="false"/>
          <w:color w:val="000000"/>
          <w:sz w:val="22"/>
        </w:rPr>
        <w:t xml:space="preserve">Providers are reimbursed on the basis of a rate for a unit of service calculated prospectively for each participating provider based on projected or historical costs of operation subject to the maximums listed in subrule </w:t>
      </w:r>
      <w:hyperlink r:id="rId8">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and to retrospective adjustment pursuant to subparagraph </w:t>
      </w:r>
      <w:hyperlink r:id="rId9">
        <w:r>
          <w:rPr>
            <w:rStyle w:val="Hyperlink"/>
            <w:rFonts w:ascii="Times New Roman" w:hAnsi="Times New Roman"/>
            <w:b w:val="false"/>
            <w:i w:val="false"/>
            <w:color w:val="000000"/>
            <w:sz w:val="22"/>
          </w:rPr>
          <w:t>79.1(1)</w:t>
        </w:r>
        <w:r>
          <w:rPr>
            <w:rFonts w:ascii="Times New Roman" w:hAnsi="Times New Roman"/>
            <w:b w:val="false"/>
            <w:i/>
            <w:color w:val="000000"/>
            <w:sz w:val="22"/>
          </w:rPr>
          <w:t>“e”</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prospective rates for new providers that have not submitted six months of cost reports will be based on a projection of the provider’s reasonable and proper costs of operation until the provider has submitted an annual cost report that includes a minimum of six months of actual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prospective rates paid established providers that have submitted an annual report with a minimum of a six-month history are based on reasonable and proper costs in a base period and are adjusted annually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prospective rates paid to both new and established providers are subject to the maximums listed in subrule </w:t>
      </w:r>
      <w:hyperlink r:id="rId10">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and to retrospective adjustment pursuant to paragraph </w:t>
      </w:r>
      <w:hyperlink r:id="rId11">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Contractual rate. </w:t>
      </w:r>
      <w:r>
        <w:rPr>
          <w:rFonts w:ascii="Times New Roman" w:hAnsi="Times New Roman"/>
          <w:b w:val="false"/>
          <w:i w:val="false"/>
          <w:color w:val="000000"/>
          <w:sz w:val="22"/>
        </w:rPr>
        <w:t>Providers are reimbursed on a basis of costs incurred pursuant to a contract between the provider and subcontractor.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Retrospectively adjusted prospective rates. </w:t>
      </w:r>
      <w:r>
        <w:rPr>
          <w:rFonts w:ascii="Times New Roman" w:hAnsi="Times New Roman"/>
          <w:b w:val="false"/>
          <w:i w:val="false"/>
          <w:color w:val="000000"/>
          <w:sz w:val="22"/>
        </w:rPr>
        <w:t xml:space="preserve">Critical access hospitals are reimbursed prospectively, with retrospective adjustments based on annual cost reports submitted by the hospital at the end of the hospital’s fiscal year. The retroactive adjustment equals the difference between the reasonable costs of providing covered services to eligible fee-for-service Medicaid members (excluding members in managed care), determined in accordance with Medicare cost principles, and the Medicaid reimbursement received. Amounts paid that exceed reasonable costs will be recovered by the department. See paragraphs </w:t>
      </w:r>
      <w:hyperlink r:id="rId12">
        <w:r>
          <w:rPr>
            <w:rStyle w:val="Hyperlink"/>
            <w:rFonts w:ascii="Times New Roman" w:hAnsi="Times New Roman"/>
            <w:b w:val="false"/>
            <w:i w:val="false"/>
            <w:color w:val="000000"/>
            <w:sz w:val="22"/>
          </w:rPr>
          <w:t>79.1(5)</w:t>
        </w:r>
        <w:r>
          <w:rPr>
            <w:rFonts w:ascii="Times New Roman" w:hAnsi="Times New Roman"/>
            <w:b w:val="false"/>
            <w:i/>
            <w:color w:val="000000"/>
            <w:sz w:val="22"/>
          </w:rPr>
          <w:t>“aa”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79.1(16)</w:t>
        </w:r>
        <w:r>
          <w:rPr>
            <w:rFonts w:ascii="Times New Roman" w:hAnsi="Times New Roman"/>
            <w:b w:val="false"/>
            <w:i/>
            <w:color w:val="000000"/>
            <w:sz w:val="22"/>
          </w:rPr>
          <w:t>“h”</w:t>
        </w:r>
        <w:r>
          <w:rPr>
            <w:rFonts w:ascii="Times New Roman" w:hAnsi="Times New Roman"/>
            <w:b w:val="false"/>
            <w:i w:val="false"/>
            <w:color w:val="000000"/>
            <w:sz w:val="22"/>
          </w:rPr>
          <w:t xml:space="preserve"> for more information.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Indian health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Indian health facilities enrolled pursuant to rule </w:t>
      </w:r>
      <w:hyperlink r:id="rId14">
        <w:r>
          <w:rPr>
            <w:rStyle w:val="Hyperlink"/>
            <w:rFonts w:ascii="Times New Roman" w:hAnsi="Times New Roman"/>
            <w:b w:val="false"/>
            <w:i w:val="false"/>
            <w:color w:val="000000"/>
            <w:sz w:val="22"/>
          </w:rPr>
          <w:t>441—77.47</w:t>
        </w:r>
      </w:hyperlink>
      <w:r>
        <w:rPr>
          <w:rFonts w:ascii="Times New Roman" w:hAnsi="Times New Roman"/>
          <w:b w:val="false"/>
          <w:i w:val="false"/>
          <w:color w:val="000000"/>
          <w:sz w:val="22"/>
        </w:rPr>
        <w:t xml:space="preserve">(249A) are paid for all Medicaid-covered services rendered to American Indian or Alaskan native persons who are Medicaid-eligible at the current daily visit rates approved by the U.S. Indian Health Service (IHS) for services provided by IHS facilities to Medicaid beneficiaries, as published in the Federal Register, as amended to July 1, 2026. For services provided to American Indians or Alaskan natives, Indian health facilities may bill for one visit per patient per calendar day for medical services (at the “outpatient per visit rate (excluding Medicare)”), which will constitute payment in full for all medical services provided on that day, except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services provided to American Indians and Alaskan natives, Indian health facilities may bill for multiple visits per patient per calendar day for medical services (at the “outpatient per visit rate (excluding Medicare)”) only if medical services are provided for different diagnoses or if distinctly different medical services from different categories of services are provided for the same diagnoses in different units of the facility. For this purpose, the categories of medical services are vision services; dental services; mental health and addiction services; early and periodic screening, diagnosis, and treatment services for children; other outpatient services; and other inpatient services. A visit is a face-to-face contact between a patient and a health professional at or through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services provided to American Indians or Alaskan natives, Indian health facilities may also bill for one visit per patient per calendar day for outpatient prescribed drugs provided by the facility (at the “outpatient per visit rate (excluding Medicare)”), which will constitute payment in full for all outpatient prescribed drugs provided on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provided to Medicaid recipients who are not American Indians or Alaskan natives will be paid at the reimbursement rate otherwise allowed by Iowa Medicaid for the services provided and will be billed separately by CPT code on the CMS-1500 Health Insurance Claim Form or through pharmacy point of sale. Claims for nonpharmacy services provided to Medicaid recipients who are not American Indians or Alaskan natives must be submitted by the individual practitioner enrolled in the Iowa Medicaid program, but may be paid to the facility if the provider agreement so stipulates.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Inflation factor. </w:t>
      </w:r>
      <w:r>
        <w:rPr>
          <w:rFonts w:ascii="Times New Roman" w:hAnsi="Times New Roman"/>
          <w:b w:val="false"/>
          <w:i w:val="false"/>
          <w:color w:val="000000"/>
          <w:sz w:val="22"/>
        </w:rPr>
        <w:t>When the department’s reimbursement methodology for any provider includes an inflation factor, this inflation factor will not exceed the amount by which the consumer price index for all urban consumers increased during the most recent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w:t>
      </w:r>
      <w:r>
        <w:rPr>
          <w:rFonts w:ascii="Times New Roman" w:hAnsi="Times New Roman"/>
          <w:b w:val="false"/>
          <w:i w:val="false"/>
          <w:color w:val="000000"/>
          <w:sz w:val="22"/>
        </w:rPr>
        <w:t> </w:t>
      </w:r>
      <w:r>
        <w:rPr>
          <w:rFonts w:ascii="Times New Roman" w:hAnsi="Times New Roman"/>
          <w:b w:val="false"/>
          <w:i/>
          <w:color w:val="000000"/>
          <w:sz w:val="22"/>
        </w:rPr>
        <w:t xml:space="preserve">Basis of reimbursement of specific provider categories. </w:t>
      </w:r>
    </w:p>
    <w:tbl>
      <w:tblPr>
        <w:tblW w:w="0" w:type="auto"/>
        <w:tblCellSpacing w:w="0" w:type="auto"/>
        <w:tblBorders>
          <w:top w:val="none"/>
          <w:left w:val="none"/>
          <w:bottom w:val="none"/>
          <w:right w:val="none"/>
          <w:insideH w:val="none"/>
          <w:insideV w:val="none"/>
        </w:tblBorders>
        <w:tblLayout w:type="fixed"/>
      </w:tblPr>
      <w:tblGrid>
        <w:gridCol w:w="4085"/>
        <w:gridCol w:w="3472"/>
        <w:gridCol w:w="3632"/>
      </w:tblGrid>
      <w:tr>
        <w:trPr>
          <w:trHeight w:val="21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Provider category</w:t>
            </w:r>
          </w:p>
        </w:tc>
        <w:tc>
          <w:tcPr>
            <w:tcW w:w="3472"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u w:val="single"/>
              </w:rPr>
              <w:t>Basis of reimbursement</w:t>
            </w:r>
          </w:p>
        </w:tc>
        <w:tc>
          <w:tcPr>
            <w:tcW w:w="3632"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u w:val="single"/>
              </w:rPr>
              <w:t>Upper limit</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Advanced registered nurse</w:t>
            </w:r>
          </w:p>
          <w:p>
            <w:pPr>
              <w:spacing w:before="0" w:after="0"/>
              <w:ind w:left="304"/>
              <w:jc w:val="left"/>
            </w:pPr>
            <w:r>
              <w:rPr>
                <w:rFonts w:ascii="Times New Roman" w:hAnsi="Times New Roman"/>
                <w:b w:val="false"/>
                <w:i w:val="false"/>
                <w:color w:val="000000"/>
                <w:sz w:val="16"/>
              </w:rPr>
              <w:t>practitioners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75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Ambulance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Ground ambulance: Fee schedule in effect 6/30/14 plus 10%</w:t>
            </w:r>
            <w:r>
              <w:br/>
            </w:r>
            <w:r>
              <w:rPr>
                <w:rFonts w:ascii="Times New Roman" w:hAnsi="Times New Roman"/>
                <w:b w:val="false"/>
                <w:i w:val="false"/>
                <w:color w:val="000000"/>
                <w:sz w:val="16"/>
              </w:rPr>
              <w:t xml:space="preserve">Air ambulance: Fee schedule in </w:t>
            </w:r>
            <w:r>
              <w:br/>
            </w:r>
            <w:r>
              <w:rPr>
                <w:rFonts w:ascii="Times New Roman" w:hAnsi="Times New Roman"/>
                <w:b w:val="false"/>
                <w:i w:val="false"/>
                <w:color w:val="000000"/>
                <w:sz w:val="16"/>
              </w:rPr>
              <w:t>effect 7/1/21</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Ambulatory surgical centers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Base rate fee schedule as determined by Medicare. See </w:t>
            </w:r>
            <w:hyperlink r:id="rId15">
              <w:r>
                <w:rPr>
                  <w:rStyle w:val="Hyperlink"/>
                  <w:rFonts w:ascii="Times New Roman" w:hAnsi="Times New Roman"/>
                  <w:b w:val="false"/>
                  <w:i w:val="false"/>
                  <w:color w:val="000000"/>
                  <w:sz w:val="16"/>
                </w:rPr>
                <w:t>79.1(3)</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Applied behavior analysis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Area education agencies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6/30/00 plus 0.7%</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Assertive community treatment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7/1/19. Maximum of 5 days per week</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Audiologists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Behavioral health intervention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Behavioral health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Birth centers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Child care medical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1/1/16</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Chiropractors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Clinics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physician reimbursement rate</w:t>
            </w:r>
          </w:p>
        </w:tc>
      </w:tr>
      <w:tr>
        <w:trPr>
          <w:trHeight w:val="93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Community-based neurobehavioral </w:t>
            </w:r>
          </w:p>
          <w:p>
            <w:pPr>
              <w:spacing w:before="0" w:after="0"/>
              <w:ind w:left="304"/>
              <w:jc w:val="left"/>
            </w:pPr>
            <w:r>
              <w:rPr>
                <w:rFonts w:ascii="Times New Roman" w:hAnsi="Times New Roman"/>
                <w:b w:val="false"/>
                <w:i w:val="false"/>
                <w:color w:val="000000"/>
                <w:sz w:val="16"/>
              </w:rPr>
              <w:t>rehabilitation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16">
              <w:r>
                <w:rPr>
                  <w:rStyle w:val="Hyperlink"/>
                  <w:rFonts w:ascii="Times New Roman" w:hAnsi="Times New Roman"/>
                  <w:b w:val="false"/>
                  <w:i w:val="false"/>
                  <w:color w:val="000000"/>
                  <w:sz w:val="16"/>
                </w:rPr>
                <w:t>79.1(28)</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Residential: Limit in effect as of June 30 each year plus CPI-U for the preceding 12-month period ending June 30. Intermittent: $21.11 per </w:t>
            </w:r>
            <w:r>
              <w:br/>
            </w:r>
            <w:r>
              <w:rPr>
                <w:rFonts w:ascii="Times New Roman" w:hAnsi="Times New Roman"/>
                <w:b w:val="false"/>
                <w:i w:val="false"/>
                <w:color w:val="000000"/>
                <w:sz w:val="16"/>
              </w:rPr>
              <w:t>15-minute unit</w:t>
            </w:r>
          </w:p>
        </w:tc>
      </w:tr>
      <w:tr>
        <w:trPr>
          <w:trHeight w:val="57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Community mental health </w:t>
            </w:r>
          </w:p>
          <w:p>
            <w:pPr>
              <w:spacing w:before="0" w:after="0"/>
              <w:ind w:left="304"/>
              <w:jc w:val="left"/>
            </w:pPr>
            <w:r>
              <w:rPr>
                <w:rFonts w:ascii="Times New Roman" w:hAnsi="Times New Roman"/>
                <w:b w:val="false"/>
                <w:i w:val="false"/>
                <w:color w:val="000000"/>
                <w:sz w:val="16"/>
              </w:rPr>
              <w:t>centers</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Retrospective cost-related.</w:t>
            </w:r>
          </w:p>
          <w:p>
            <w:pPr>
              <w:spacing w:before="0" w:after="0"/>
              <w:ind w:left="160"/>
              <w:jc w:val="left"/>
            </w:pPr>
            <w:r>
              <w:rPr>
                <w:rFonts w:ascii="Times New Roman" w:hAnsi="Times New Roman"/>
                <w:b w:val="false"/>
                <w:i w:val="false"/>
                <w:color w:val="000000"/>
                <w:sz w:val="16"/>
              </w:rPr>
              <w:t xml:space="preserve">See </w:t>
            </w:r>
            <w:hyperlink r:id="rId17">
              <w:r>
                <w:rPr>
                  <w:rStyle w:val="Hyperlink"/>
                  <w:rFonts w:ascii="Times New Roman" w:hAnsi="Times New Roman"/>
                  <w:b w:val="false"/>
                  <w:i w:val="false"/>
                  <w:color w:val="000000"/>
                  <w:sz w:val="16"/>
                </w:rPr>
                <w:t>79.1(25)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reasonable Medicaid cost as determined by Medicare cost reimbursement principles</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Crisis response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2/1/18, not to exceed the daily per diem for crisis stabilization services</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Crisis stabilization community-based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2/1/18, not to exceed the daily per diem for crisis stabilization services</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Crisis stabilization residential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2/1/18</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Dentists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Drug and alcohol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1/1/16</w:t>
            </w:r>
          </w:p>
        </w:tc>
      </w:tr>
      <w:tr>
        <w:trPr>
          <w:trHeight w:val="48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Durable medical equipment, prosthetic</w:t>
            </w:r>
          </w:p>
          <w:p>
            <w:pPr>
              <w:spacing w:before="0" w:after="0"/>
              <w:ind w:left="304"/>
              <w:jc w:val="left"/>
            </w:pPr>
            <w:r>
              <w:rPr>
                <w:rFonts w:ascii="Times New Roman" w:hAnsi="Times New Roman"/>
                <w:b w:val="false"/>
                <w:i w:val="false"/>
                <w:color w:val="000000"/>
                <w:sz w:val="16"/>
              </w:rPr>
              <w:t>devices and medical supply dealers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18">
              <w:r>
                <w:rPr>
                  <w:rStyle w:val="Hyperlink"/>
                  <w:rFonts w:ascii="Times New Roman" w:hAnsi="Times New Roman"/>
                  <w:b w:val="false"/>
                  <w:i w:val="false"/>
                  <w:color w:val="000000"/>
                  <w:sz w:val="16"/>
                </w:rPr>
                <w:t>79.1(4)</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Emergency psychiatric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1/1/16</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Family planning clinics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1275"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Federally qualified health</w:t>
            </w:r>
          </w:p>
          <w:p>
            <w:pPr>
              <w:spacing w:before="0" w:after="0"/>
              <w:ind w:left="304"/>
              <w:jc w:val="left"/>
            </w:pPr>
            <w:r>
              <w:rPr>
                <w:rFonts w:ascii="Times New Roman" w:hAnsi="Times New Roman"/>
                <w:b w:val="false"/>
                <w:i w:val="false"/>
                <w:color w:val="000000"/>
                <w:sz w:val="16"/>
              </w:rPr>
              <w:t>centers</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Retrospective cost-related.</w:t>
            </w:r>
          </w:p>
          <w:p>
            <w:pPr>
              <w:spacing w:before="0" w:after="0"/>
              <w:ind w:left="160"/>
              <w:jc w:val="left"/>
            </w:pPr>
            <w:r>
              <w:rPr>
                <w:rFonts w:ascii="Times New Roman" w:hAnsi="Times New Roman"/>
                <w:b w:val="false"/>
                <w:i w:val="false"/>
                <w:color w:val="000000"/>
                <w:sz w:val="16"/>
              </w:rPr>
              <w:t xml:space="preserve">See </w:t>
            </w:r>
            <w:hyperlink r:id="rId19">
              <w:r>
                <w:rPr>
                  <w:rStyle w:val="Hyperlink"/>
                  <w:rFonts w:ascii="Times New Roman" w:hAnsi="Times New Roman"/>
                  <w:b w:val="false"/>
                  <w:i w:val="false"/>
                  <w:color w:val="000000"/>
                  <w:sz w:val="16"/>
                </w:rPr>
                <w:t>441—Chapter 73</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Prospective payment rate as required by the Medicare, Medicaid, and SCHIP Benefits Improvement and Protection Act of 2000 (BIPA 2000) as amended to July 1, 2026, or an alternative methodology allowed thereunder, as specified in “2” below</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100% of reasonable cost as determined by Medicare cost reimbursement principles</w:t>
            </w:r>
          </w:p>
        </w:tc>
      </w:tr>
      <w:tr>
        <w:trPr>
          <w:trHeight w:val="93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In the case of services provided pursuant to a contract between an FQHC and an MCO, reimbursement from the MCO will be supplemented to achieve “1” or “2” above</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HCBS waiver service providers,</w:t>
            </w:r>
          </w:p>
          <w:p>
            <w:pPr>
              <w:spacing w:before="0" w:after="0"/>
              <w:ind w:left="304"/>
              <w:jc w:val="left"/>
            </w:pPr>
            <w:r>
              <w:rPr>
                <w:rFonts w:ascii="Times New Roman" w:hAnsi="Times New Roman"/>
                <w:b w:val="false"/>
                <w:i w:val="false"/>
                <w:color w:val="000000"/>
                <w:sz w:val="16"/>
              </w:rPr>
              <w:t>including: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Except as noted, limits apply to all waivers that cover the named provider.</w:t>
            </w:r>
          </w:p>
        </w:tc>
      </w:tr>
      <w:tr>
        <w:trPr>
          <w:trHeight w:val="1995" w:hRule="atLeast"/>
        </w:trPr>
        <w:tc>
          <w:tcPr>
            <w:tcW w:w="4085"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Adult day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AIDS/HIV, brain injury, elderly, and health and disability waivers:</w:t>
            </w:r>
            <w:r>
              <w:br/>
            </w: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for AIDS/HIV, brain injury, elderly, and health and disability waivers: Provider’s rate in effect 6/30/24 plus 4.1%, converted to a 15-minute, half-day, full-day, or extended-day rate. If no 6/30/24 rate: Veterans Administration contract rate or $1.64 per 15-minute unit, $26.37 per half day, $52.51 per full day, or $78.73 per extended day if no Veterans Administration contract</w:t>
            </w:r>
          </w:p>
        </w:tc>
      </w:tr>
      <w:tr>
        <w:trPr>
          <w:trHeight w:val="1995" w:hRule="atLeast"/>
        </w:trPr>
        <w:tc>
          <w:tcPr>
            <w:tcW w:w="0" w:type="auto"/>
            <w:vMerge/>
            <w:tcBorders>
              <w:top w:val="nil"/>
            </w:tcBorders>
          </w:tcP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intellectual disability waiver:</w:t>
            </w:r>
            <w:r>
              <w:br/>
            </w:r>
            <w:r>
              <w:rPr>
                <w:rFonts w:ascii="Times New Roman" w:hAnsi="Times New Roman"/>
                <w:b w:val="false"/>
                <w:i w:val="false"/>
                <w:color w:val="000000"/>
                <w:sz w:val="16"/>
              </w:rPr>
              <w:t xml:space="preserve">Fee schedule for the member’s acuity tier, determined pursuant to </w:t>
            </w:r>
            <w:hyperlink r:id="rId20">
              <w:r>
                <w:rPr>
                  <w:rStyle w:val="Hyperlink"/>
                  <w:rFonts w:ascii="Times New Roman" w:hAnsi="Times New Roman"/>
                  <w:b w:val="false"/>
                  <w:i w:val="false"/>
                  <w:color w:val="000000"/>
                  <w:sz w:val="16"/>
                </w:rPr>
                <w:t>79.1(30)</w:t>
              </w:r>
            </w:hyperlink>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7/1/24, for intellectual disability waiver: The provider’s rate in effect 6/30/24 plus 4.1%, converted to a 15-minute or half-day rate. If no 6/30/24 rate, $2.21 per 15-minute unit or $35.14 per half day.</w:t>
            </w:r>
          </w:p>
          <w:p>
            <w:pPr>
              <w:spacing w:before="0" w:after="0"/>
              <w:ind w:left="160"/>
              <w:jc w:val="left"/>
            </w:pPr>
          </w:p>
          <w:p>
            <w:pPr>
              <w:spacing w:before="0" w:after="0"/>
              <w:ind w:left="160"/>
              <w:jc w:val="left"/>
            </w:pPr>
            <w:r>
              <w:rPr>
                <w:rFonts w:ascii="Times New Roman" w:hAnsi="Times New Roman"/>
                <w:b w:val="false"/>
                <w:i w:val="false"/>
                <w:color w:val="000000"/>
                <w:sz w:val="16"/>
              </w:rPr>
              <w:t xml:space="preserve">For daily services, the fee schedule rate published on the department’s website, pursuant to </w:t>
            </w:r>
            <w:hyperlink r:id="rId21">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r>
              <w:rPr>
                <w:rFonts w:ascii="Times New Roman" w:hAnsi="Times New Roman"/>
                <w:b w:val="false"/>
                <w:i w:val="false"/>
                <w:color w:val="000000"/>
                <w:sz w:val="16"/>
              </w:rPr>
              <w:t xml:space="preserve"> for the member’s acuity tier, determined pursuant to </w:t>
            </w:r>
            <w:hyperlink r:id="rId22">
              <w:r>
                <w:rPr>
                  <w:rStyle w:val="Hyperlink"/>
                  <w:rFonts w:ascii="Times New Roman" w:hAnsi="Times New Roman"/>
                  <w:b w:val="false"/>
                  <w:i w:val="false"/>
                  <w:color w:val="000000"/>
                  <w:sz w:val="16"/>
                </w:rPr>
                <w:t>79.1(30)</w:t>
              </w:r>
            </w:hyperlink>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Emergency response system:</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Personal response system</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If no 6/30/24 rate: Initial one-time fee: $58.48. Ongoing monthly fee: $45.48</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Portable locator system</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If no 6/30/24 rate: Initial one-time fee: $58.48. Ongoing monthly fee: $45.48</w:t>
            </w:r>
          </w:p>
        </w:tc>
      </w:tr>
      <w:tr>
        <w:trPr>
          <w:trHeight w:val="2295"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Home health aides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AIDS/HIV, elderly, and health and disability waivers effective 7/1/24: Lesser of maximum Medicare rate in effect 6/30/24 plus 4.1% or maximum Medicaid rate in effect 6/30/24</w:t>
            </w:r>
            <w:r>
              <w:br/>
            </w:r>
            <w:r>
              <w:rPr>
                <w:rFonts w:ascii="Times New Roman" w:hAnsi="Times New Roman"/>
                <w:b w:val="false"/>
                <w:i w:val="false"/>
                <w:color w:val="000000"/>
                <w:sz w:val="16"/>
              </w:rPr>
              <w:t>plus 4.1%</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intellectual disability waiver effective 7/1/24: Lesser of maximum Medicare rate in effect 6/30/24 plus 4.1% or maximum Medicaid rate in effect 6/30/24 plus 4.1%, converted to an hourly rate</w:t>
            </w:r>
          </w:p>
        </w:tc>
      </w:tr>
      <w:tr>
        <w:trPr>
          <w:trHeight w:val="75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Homemakers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converted to a 15-minute rate. If no 6/30/24 rate: $5.84 per 15-minute unit</w:t>
            </w:r>
          </w:p>
        </w:tc>
      </w:tr>
      <w:tr>
        <w:trPr>
          <w:trHeight w:val="1005"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Nursing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AIDS/HIV, health and disability, elderly and intellectual disability waiver effective 7/1/24, provider’s rate in effect 6/30/24 plus 4.1%. If no 6/30/24 rate: $98.87 per visit</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Respite care when provided by: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Home health agency: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635"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Specialized respite</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Lesser of maximum Medicare rate in effect 7/31/25 plus 0.9%, converted to a 15-minute rate, or maximum Medicaid rate in effect 7/31/25 plus 0.9%, converted to a 15-minute rate, not to exceed $356.93 per day</w:t>
            </w:r>
          </w:p>
        </w:tc>
      </w:tr>
      <w:tr>
        <w:trPr>
          <w:trHeight w:val="1635"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Basic individual respite</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Lesser of maximum Medicare rate in effect 7/31/25 plus 0.9%, converted to a 15-minute rate, or maximum Medicaid rate in effect 7/31/25 plus 0.9%, converted to a 15-minute rate,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Group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21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Home care agency: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Specialized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$10.15 per 15-minute unit,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Basic individual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$5.41 per 15-minute unit,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Group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21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Nonfacility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Specialized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$10.15 per 15-minute unit, not to exceed $356.73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Basic individual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7/31/22 rate: $5.41 per 15-minute unit,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Group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21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Facility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44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Hospital or nursing facility</w:t>
            </w:r>
          </w:p>
          <w:p>
            <w:pPr>
              <w:spacing w:before="0" w:after="0"/>
              <w:ind w:left="736"/>
              <w:jc w:val="left"/>
            </w:pPr>
            <w:r>
              <w:rPr>
                <w:rFonts w:ascii="Times New Roman" w:hAnsi="Times New Roman"/>
                <w:b w:val="false"/>
                <w:i w:val="false"/>
                <w:color w:val="000000"/>
                <w:sz w:val="16"/>
              </w:rPr>
              <w:t>providing skilled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Nursing facility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Camps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Adult day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 xml:space="preserve">Intermediate care facility </w:t>
            </w:r>
          </w:p>
          <w:p>
            <w:pPr>
              <w:spacing w:before="0" w:after="0"/>
              <w:ind w:left="736"/>
              <w:jc w:val="left"/>
            </w:pPr>
            <w:r>
              <w:rPr>
                <w:rFonts w:ascii="Times New Roman" w:hAnsi="Times New Roman"/>
                <w:b w:val="false"/>
                <w:i w:val="false"/>
                <w:color w:val="000000"/>
                <w:sz w:val="16"/>
              </w:rPr>
              <w:t>for persons with an intellectual disability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Effective 8/1/25, provider’s rate in effect 7/31/25 plus 0.9%, converted to a 15-minute rate. If no 7/31/25 rate: $3.94 per 15-minute unit, not to exceed $356.93 </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 xml:space="preserve">Residential care facilities </w:t>
            </w:r>
          </w:p>
          <w:p>
            <w:pPr>
              <w:spacing w:before="0" w:after="0"/>
              <w:ind w:left="736"/>
              <w:jc w:val="left"/>
            </w:pPr>
            <w:r>
              <w:rPr>
                <w:rFonts w:ascii="Times New Roman" w:hAnsi="Times New Roman"/>
                <w:b w:val="false"/>
                <w:i w:val="false"/>
                <w:color w:val="000000"/>
                <w:sz w:val="16"/>
              </w:rPr>
              <w:t>for persons with an intellectual</w:t>
            </w:r>
          </w:p>
          <w:p>
            <w:pPr>
              <w:spacing w:before="0" w:after="0"/>
              <w:ind w:left="736"/>
              <w:jc w:val="left"/>
            </w:pPr>
            <w:r>
              <w:rPr>
                <w:rFonts w:ascii="Times New Roman" w:hAnsi="Times New Roman"/>
                <w:b w:val="false"/>
                <w:i w:val="false"/>
                <w:color w:val="000000"/>
                <w:sz w:val="16"/>
              </w:rPr>
              <w:t>disability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Foster group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Child care facilities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w:t>
            </w:r>
          </w:p>
        </w:tc>
      </w:tr>
      <w:tr>
        <w:trPr>
          <w:trHeight w:val="75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 Chore service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converted to a 15-minute rate. If no 6/30/24 rate: $5.84 per 15-minute unit</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Home-delivered meals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$9.11 per meal. Home-delivered liquid supplement meals are two cans per meal.</w:t>
            </w:r>
          </w:p>
        </w:tc>
      </w:tr>
      <w:tr>
        <w:trPr>
          <w:trHeight w:val="1515"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 Home and vehicle</w:t>
            </w:r>
          </w:p>
          <w:p>
            <w:pPr>
              <w:spacing w:before="0" w:after="0"/>
              <w:ind w:left="448"/>
              <w:jc w:val="left"/>
            </w:pPr>
            <w:r>
              <w:rPr>
                <w:rFonts w:ascii="Times New Roman" w:hAnsi="Times New Roman"/>
                <w:b w:val="false"/>
                <w:i w:val="false"/>
                <w:color w:val="000000"/>
                <w:sz w:val="16"/>
              </w:rPr>
              <w:t>modification</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Fee schedule. See </w:t>
            </w:r>
            <w:hyperlink r:id="rId23">
              <w:r>
                <w:rPr>
                  <w:rStyle w:val="Hyperlink"/>
                  <w:rFonts w:ascii="Times New Roman" w:hAnsi="Times New Roman"/>
                  <w:b w:val="false"/>
                  <w:i w:val="false"/>
                  <w:color w:val="000000"/>
                  <w:sz w:val="16"/>
                </w:rPr>
                <w:t>79.1(17)</w:t>
              </w:r>
            </w:hyperlink>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elderly waiver: $1,192.44 lifetime maximum</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intellectual disability waiver: $5,962.19 lifetime maximum</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brain injury, health and disability, and physical disability waivers 7/1/22: $7,154.65 per year</w:t>
            </w:r>
          </w:p>
        </w:tc>
      </w:tr>
      <w:tr>
        <w:trPr>
          <w:trHeight w:val="93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 Mental health outreach</w:t>
            </w:r>
          </w:p>
          <w:p>
            <w:pPr>
              <w:spacing w:before="0" w:after="0"/>
              <w:ind w:left="448"/>
              <w:jc w:val="left"/>
            </w:pPr>
            <w:r>
              <w:rPr>
                <w:rFonts w:ascii="Times New Roman" w:hAnsi="Times New Roman"/>
                <w:b w:val="false"/>
                <w:i w:val="false"/>
                <w:color w:val="000000"/>
                <w:sz w:val="16"/>
              </w:rPr>
              <w:t>providers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6/30/242 plus 4.1%. If no 6/30/24 rate: On-site Medicaid reimbursement rate for center or provider. Maximum of 1,440 units per year</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Transportation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w:t>
            </w:r>
          </w:p>
        </w:tc>
      </w:tr>
      <w:tr>
        <w:trPr>
          <w:trHeight w:val="93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Nutritional counseling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for non-county contract: Provider’s rate in effect 6/30/24 plus 4.1%, converted to a 15-minute rate. If no 6/30/24 rate: $9.85 per 15-minute unit</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 Assistive devices</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Fee schedule. See </w:t>
            </w:r>
            <w:hyperlink r:id="rId24">
              <w:r>
                <w:rPr>
                  <w:rStyle w:val="Hyperlink"/>
                  <w:rFonts w:ascii="Times New Roman" w:hAnsi="Times New Roman"/>
                  <w:b w:val="false"/>
                  <w:i w:val="false"/>
                  <w:color w:val="000000"/>
                  <w:sz w:val="16"/>
                </w:rPr>
                <w:t>79.1(17)</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$1,294.93 per unit</w:t>
            </w:r>
          </w:p>
        </w:tc>
      </w:tr>
      <w:tr>
        <w:trPr>
          <w:trHeight w:val="102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 Senior companion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for non-county contract: Provider’s rate in effect 6/30/24 plus 4.1%, converted to a 15-minute rate. If no 6/30/24 rate: $2.12 per 15-minute unit</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15. Consumer-directed attendant </w:t>
            </w:r>
          </w:p>
          <w:p>
            <w:pPr>
              <w:spacing w:before="0" w:after="0"/>
              <w:ind w:left="448"/>
              <w:jc w:val="left"/>
            </w:pPr>
            <w:r>
              <w:rPr>
                <w:rFonts w:ascii="Times New Roman" w:hAnsi="Times New Roman"/>
                <w:b w:val="false"/>
                <w:i w:val="false"/>
                <w:color w:val="000000"/>
                <w:sz w:val="16"/>
              </w:rPr>
              <w:t>care provided by: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Agency (other than an elderly waiver assisted living program)</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agreed upon by</w:t>
            </w:r>
          </w:p>
          <w:p>
            <w:pPr>
              <w:spacing w:before="0" w:after="0"/>
              <w:ind w:left="160"/>
              <w:jc w:val="left"/>
            </w:pPr>
            <w:r>
              <w:rPr>
                <w:rFonts w:ascii="Times New Roman" w:hAnsi="Times New Roman"/>
                <w:b w:val="false"/>
                <w:i w:val="false"/>
                <w:color w:val="000000"/>
                <w:sz w:val="16"/>
              </w:rPr>
              <w:t>member and provider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converted to a 15-minute rate. If no 6/30/22 rate: $6.02 per 15-minute unit, not to exceed $139.18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Assisted living program (for elderly waiver only)</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agreed upon by</w:t>
            </w:r>
          </w:p>
          <w:p>
            <w:pPr>
              <w:spacing w:before="0" w:after="0"/>
              <w:ind w:left="160"/>
              <w:jc w:val="left"/>
            </w:pPr>
            <w:r>
              <w:rPr>
                <w:rFonts w:ascii="Times New Roman" w:hAnsi="Times New Roman"/>
                <w:b w:val="false"/>
                <w:i w:val="false"/>
                <w:color w:val="000000"/>
                <w:sz w:val="16"/>
              </w:rPr>
              <w:t>member and provider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converted to a 15-minute rate. If no 6/30/22 rate: $6.02 per 15-minute unit, not to exceed $139.18 per day</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 Counseling: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Individual</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4.15%, converted to a 15-minute rate. If no 6/30/24 rate: $12.87 per 15-minute unit</w:t>
            </w:r>
          </w:p>
        </w:tc>
      </w:tr>
      <w:tr>
        <w:trPr>
          <w:trHeight w:val="2655"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Group</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First 30 minutes: effective 7/1/24, provider’s rate in effect 6/30/24 plus 4.1%, converted to a 15-minute rate. If no 6/30/24 rate: $25.74 per 15-minute unit. Rate is divided by the actual number of persons who comprise the group</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Each additional 15 minutes: effective 7/1/24, provider’s rate in effect 6/30/24 plus 4.1% converted to a 15-minute rate. If no 6/30/4 rate: $12.86 per 15-minute unit. Rate is divided by the actual number of persons who comprise the group</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 Case management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brain injury and elderly waivers: Fee schedule in effect 7/1/24, provider’s rate in effect 6/30/24 plus 4.1%</w:t>
            </w:r>
          </w:p>
        </w:tc>
      </w:tr>
      <w:tr>
        <w:trPr>
          <w:trHeight w:val="570" w:hRule="atLeast"/>
        </w:trPr>
        <w:tc>
          <w:tcPr>
            <w:tcW w:w="4085"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 Supported community living</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brain injury waiver:</w:t>
            </w:r>
          </w:p>
          <w:p>
            <w:pPr>
              <w:spacing w:before="0" w:after="0"/>
              <w:ind w:left="160"/>
              <w:jc w:val="left"/>
            </w:pPr>
            <w:r>
              <w:rPr>
                <w:rFonts w:ascii="Times New Roman" w:hAnsi="Times New Roman"/>
                <w:b w:val="false"/>
                <w:i w:val="false"/>
                <w:color w:val="000000"/>
                <w:sz w:val="16"/>
              </w:rPr>
              <w:t xml:space="preserve">Retrospectively limited prospective rates. See </w:t>
            </w:r>
            <w:hyperlink r:id="rId25">
              <w:r>
                <w:rPr>
                  <w:rStyle w:val="Hyperlink"/>
                  <w:rFonts w:ascii="Times New Roman" w:hAnsi="Times New Roman"/>
                  <w:b w:val="false"/>
                  <w:i w:val="false"/>
                  <w:color w:val="000000"/>
                  <w:sz w:val="16"/>
                </w:rPr>
                <w:t>79.1(15)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brain injury waiver effective 7/1/22: $11.59 per 15-minute unit; $565.02 daily</w:t>
            </w:r>
          </w:p>
        </w:tc>
      </w:tr>
      <w:tr>
        <w:trPr>
          <w:trHeight w:val="1275" w:hRule="atLeast"/>
        </w:trPr>
        <w:tc>
          <w:tcPr>
            <w:tcW w:w="0" w:type="auto"/>
            <w:vMerge/>
            <w:tcBorders>
              <w:top w:val="nil"/>
            </w:tcBorders>
          </w:tcP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intellectual disability waiver:</w:t>
            </w:r>
          </w:p>
          <w:p>
            <w:pPr>
              <w:spacing w:before="0" w:after="0"/>
              <w:ind w:left="160"/>
              <w:jc w:val="left"/>
            </w:pPr>
            <w:r>
              <w:rPr>
                <w:rFonts w:ascii="Times New Roman" w:hAnsi="Times New Roman"/>
                <w:b w:val="false"/>
                <w:i w:val="false"/>
                <w:color w:val="000000"/>
                <w:sz w:val="16"/>
              </w:rPr>
              <w:t xml:space="preserve">Fee schedule for the member’s acuity tier, determined pursuant to </w:t>
            </w:r>
            <w:hyperlink r:id="rId26">
              <w:r>
                <w:rPr>
                  <w:rStyle w:val="Hyperlink"/>
                  <w:rFonts w:ascii="Times New Roman" w:hAnsi="Times New Roman"/>
                  <w:b w:val="false"/>
                  <w:i w:val="false"/>
                  <w:color w:val="000000"/>
                  <w:sz w:val="16"/>
                </w:rPr>
                <w:t>79.1(30)</w:t>
              </w:r>
            </w:hyperlink>
            <w:r>
              <w:rPr>
                <w:rFonts w:ascii="Times New Roman" w:hAnsi="Times New Roman"/>
                <w:b w:val="false"/>
                <w:i w:val="false"/>
                <w:color w:val="000000"/>
                <w:sz w:val="16"/>
              </w:rPr>
              <w:t xml:space="preserve">. Retrospectively limited prospective rate for SCL 15-minute unit. </w:t>
            </w:r>
            <w:r>
              <w:br/>
            </w:r>
            <w:r>
              <w:rPr>
                <w:rFonts w:ascii="Times New Roman" w:hAnsi="Times New Roman"/>
                <w:b w:val="false"/>
                <w:i w:val="false"/>
                <w:color w:val="000000"/>
                <w:sz w:val="16"/>
              </w:rPr>
              <w:t xml:space="preserve">See </w:t>
            </w:r>
            <w:hyperlink r:id="rId27">
              <w:r>
                <w:rPr>
                  <w:rStyle w:val="Hyperlink"/>
                  <w:rFonts w:ascii="Times New Roman" w:hAnsi="Times New Roman"/>
                  <w:b w:val="false"/>
                  <w:i w:val="false"/>
                  <w:color w:val="000000"/>
                  <w:sz w:val="16"/>
                </w:rPr>
                <w:t>79.1(15)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 intellectual disability waiver effective 7/1/24: $11.59 per 15-minute unit. For daily service, the fee schedule rate published on the department’s website, pursuant to </w:t>
            </w:r>
            <w:hyperlink r:id="rId28">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r>
              <w:rPr>
                <w:rFonts w:ascii="Times New Roman" w:hAnsi="Times New Roman"/>
                <w:b w:val="false"/>
                <w:i w:val="false"/>
                <w:color w:val="000000"/>
                <w:sz w:val="16"/>
              </w:rPr>
              <w:t xml:space="preserve"> for the member’s acuity tier, determined pursuant to </w:t>
            </w:r>
            <w:hyperlink r:id="rId29">
              <w:r>
                <w:rPr>
                  <w:rStyle w:val="Hyperlink"/>
                  <w:rFonts w:ascii="Times New Roman" w:hAnsi="Times New Roman"/>
                  <w:b w:val="false"/>
                  <w:i w:val="false"/>
                  <w:color w:val="000000"/>
                  <w:sz w:val="16"/>
                </w:rPr>
                <w:t>79.1(30)</w:t>
              </w:r>
            </w:hyperlink>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 Supported employment: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Individual supported employment</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Long-term job coaching</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Small-group supported</w:t>
            </w:r>
          </w:p>
          <w:p>
            <w:pPr>
              <w:spacing w:before="0" w:after="0"/>
              <w:ind w:left="736"/>
              <w:jc w:val="left"/>
            </w:pPr>
            <w:r>
              <w:rPr>
                <w:rFonts w:ascii="Times New Roman" w:hAnsi="Times New Roman"/>
                <w:b w:val="false"/>
                <w:i w:val="false"/>
                <w:color w:val="000000"/>
                <w:sz w:val="16"/>
              </w:rPr>
              <w:t xml:space="preserve">employment (2 to 8 </w:t>
            </w:r>
          </w:p>
          <w:p>
            <w:pPr>
              <w:spacing w:before="0" w:after="0"/>
              <w:ind w:left="736"/>
              <w:jc w:val="left"/>
            </w:pPr>
            <w:r>
              <w:rPr>
                <w:rFonts w:ascii="Times New Roman" w:hAnsi="Times New Roman"/>
                <w:b w:val="false"/>
                <w:i w:val="false"/>
                <w:color w:val="000000"/>
                <w:sz w:val="16"/>
              </w:rPr>
              <w:t>individuals)</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Maximum 160 units per week. Total monthly cost for all supported employment services not to exceed $3,692.34 per month</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Specialized medical equipment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30">
              <w:r>
                <w:rPr>
                  <w:rStyle w:val="Hyperlink"/>
                  <w:rFonts w:ascii="Times New Roman" w:hAnsi="Times New Roman"/>
                  <w:b w:val="false"/>
                  <w:i w:val="false"/>
                  <w:color w:val="000000"/>
                  <w:sz w:val="16"/>
                </w:rPr>
                <w:t>79.1(17)</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$7,154.64 per year</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21. Behavioral programming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$12.87 per 15 minutes</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 Family counseling and training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$12.86 per 15-minute unit</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23. Prevocational services, including</w:t>
            </w:r>
          </w:p>
          <w:p>
            <w:pPr>
              <w:spacing w:before="0" w:after="0"/>
              <w:ind w:left="448"/>
              <w:jc w:val="left"/>
            </w:pPr>
            <w:r>
              <w:rPr>
                <w:rFonts w:ascii="Times New Roman" w:hAnsi="Times New Roman"/>
                <w:b w:val="false"/>
                <w:i w:val="false"/>
                <w:color w:val="000000"/>
                <w:sz w:val="16"/>
              </w:rPr>
              <w:t>career exploration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w:t>
            </w:r>
          </w:p>
        </w:tc>
      </w:tr>
      <w:tr>
        <w:trPr>
          <w:trHeight w:val="48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 Interim medical monitoring</w:t>
            </w:r>
          </w:p>
          <w:p>
            <w:pPr>
              <w:spacing w:before="0" w:after="0"/>
              <w:ind w:left="448"/>
              <w:jc w:val="left"/>
            </w:pPr>
            <w:r>
              <w:rPr>
                <w:rFonts w:ascii="Times New Roman" w:hAnsi="Times New Roman"/>
                <w:b w:val="false"/>
                <w:i w:val="false"/>
                <w:color w:val="000000"/>
                <w:sz w:val="16"/>
              </w:rPr>
              <w:t>and treatment: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11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Home health agency</w:t>
            </w:r>
          </w:p>
          <w:p>
            <w:pPr>
              <w:spacing w:before="0" w:after="0"/>
              <w:ind w:left="736"/>
              <w:jc w:val="left"/>
            </w:pPr>
            <w:r>
              <w:rPr>
                <w:rFonts w:ascii="Times New Roman" w:hAnsi="Times New Roman"/>
                <w:b w:val="false"/>
                <w:i w:val="false"/>
                <w:color w:val="000000"/>
                <w:sz w:val="16"/>
              </w:rPr>
              <w:t>(provided by home</w:t>
            </w:r>
          </w:p>
          <w:p>
            <w:pPr>
              <w:spacing w:before="0" w:after="0"/>
              <w:ind w:left="160"/>
              <w:jc w:val="left"/>
            </w:pPr>
            <w:r>
              <w:rPr>
                <w:rFonts w:ascii="Times New Roman" w:hAnsi="Times New Roman"/>
                <w:b w:val="false"/>
                <w:i w:val="false"/>
                <w:color w:val="000000"/>
                <w:sz w:val="16"/>
              </w:rPr>
              <w:t>health aide)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Lesser of maximum Medicare rate in effect 6/30/24 plus 4.1%, converted to a 15-minute rate, or maximum Medicaid rate in effect 6/30/24 plus 4.1%, converted to a 15-minute rate</w:t>
            </w:r>
          </w:p>
        </w:tc>
      </w:tr>
      <w:tr>
        <w:trPr>
          <w:trHeight w:val="111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Home health agency</w:t>
            </w:r>
          </w:p>
          <w:p>
            <w:pPr>
              <w:spacing w:before="0" w:after="0"/>
              <w:ind w:left="736"/>
              <w:jc w:val="left"/>
            </w:pPr>
            <w:r>
              <w:rPr>
                <w:rFonts w:ascii="Times New Roman" w:hAnsi="Times New Roman"/>
                <w:b w:val="false"/>
                <w:i w:val="false"/>
                <w:color w:val="000000"/>
                <w:sz w:val="16"/>
              </w:rPr>
              <w:t>(provided by nurse)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Lesser of maximum Medicare rate in effect 6/30/24 plus 4.1%, converted to a 15-minute rate, or maximum Medicaid rate in effect 6/30/24 plus 4.1%, converted to a 15-minute rate</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Child development home</w:t>
            </w:r>
          </w:p>
          <w:p>
            <w:pPr>
              <w:spacing w:before="0" w:after="0"/>
              <w:ind w:left="736"/>
              <w:jc w:val="left"/>
            </w:pPr>
            <w:r>
              <w:rPr>
                <w:rFonts w:ascii="Times New Roman" w:hAnsi="Times New Roman"/>
                <w:b w:val="false"/>
                <w:i w:val="false"/>
                <w:color w:val="000000"/>
                <w:sz w:val="16"/>
              </w:rPr>
              <w:t>or center</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provider’s rate in effect 6/30/22 plus 4.25%, converted to a 15-minute rate. If no 6/30/22 rate: $3.76 per 15-minute unit</w:t>
            </w:r>
          </w:p>
        </w:tc>
      </w:tr>
      <w:tr>
        <w:trPr>
          <w:trHeight w:val="111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Supported community living</w:t>
            </w:r>
          </w:p>
          <w:p>
            <w:pPr>
              <w:spacing w:before="0" w:after="0"/>
              <w:ind w:left="736"/>
              <w:jc w:val="left"/>
            </w:pPr>
            <w:r>
              <w:rPr>
                <w:rFonts w:ascii="Times New Roman" w:hAnsi="Times New Roman"/>
                <w:b w:val="false"/>
                <w:i w:val="false"/>
                <w:color w:val="000000"/>
                <w:sz w:val="16"/>
              </w:rPr>
              <w:t>provider</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Retrospectively limited prospective rate. See </w:t>
            </w:r>
            <w:hyperlink r:id="rId31">
              <w:r>
                <w:rPr>
                  <w:rStyle w:val="Hyperlink"/>
                  <w:rFonts w:ascii="Times New Roman" w:hAnsi="Times New Roman"/>
                  <w:b w:val="false"/>
                  <w:i w:val="false"/>
                  <w:color w:val="000000"/>
                  <w:sz w:val="16"/>
                </w:rPr>
                <w:t>79.1(15)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converted to a 15-minute rate. If no 6/30/24 rate: $10.43 per 15-minute unit, not to exceed the maximum ICF/ID rate per day plus 11.727%</w:t>
            </w:r>
          </w:p>
        </w:tc>
      </w:tr>
      <w:tr>
        <w:trPr>
          <w:trHeight w:val="93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 Residential-based supported</w:t>
            </w:r>
          </w:p>
          <w:p>
            <w:pPr>
              <w:spacing w:before="0" w:after="0"/>
              <w:ind w:left="448"/>
              <w:jc w:val="left"/>
            </w:pPr>
            <w:r>
              <w:rPr>
                <w:rFonts w:ascii="Times New Roman" w:hAnsi="Times New Roman"/>
                <w:b w:val="false"/>
                <w:i w:val="false"/>
                <w:color w:val="000000"/>
                <w:sz w:val="16"/>
              </w:rPr>
              <w:t>community living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the member’s acuity tier, determined pursuant to </w:t>
            </w:r>
            <w:hyperlink r:id="rId32">
              <w:r>
                <w:rPr>
                  <w:rStyle w:val="Hyperlink"/>
                  <w:rFonts w:ascii="Times New Roman" w:hAnsi="Times New Roman"/>
                  <w:b w:val="false"/>
                  <w:i w:val="false"/>
                  <w:color w:val="000000"/>
                  <w:sz w:val="16"/>
                </w:rPr>
                <w:t>79.1(30)</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Effective 7/1/24: The fee schedule rate published on the department’s website, pursuant to </w:t>
            </w:r>
            <w:hyperlink r:id="rId33">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r>
              <w:rPr>
                <w:rFonts w:ascii="Times New Roman" w:hAnsi="Times New Roman"/>
                <w:b w:val="false"/>
                <w:i w:val="false"/>
                <w:color w:val="000000"/>
                <w:sz w:val="16"/>
              </w:rPr>
              <w:t xml:space="preserve"> for the member’s acuity tier, determined pursuant to </w:t>
            </w:r>
            <w:hyperlink r:id="rId34">
              <w:r>
                <w:rPr>
                  <w:rStyle w:val="Hyperlink"/>
                  <w:rFonts w:ascii="Times New Roman" w:hAnsi="Times New Roman"/>
                  <w:b w:val="false"/>
                  <w:i w:val="false"/>
                  <w:color w:val="000000"/>
                  <w:sz w:val="16"/>
                </w:rPr>
                <w:t>79.1(30)</w:t>
              </w:r>
            </w:hyperlink>
          </w:p>
        </w:tc>
      </w:tr>
      <w:tr>
        <w:trPr>
          <w:trHeight w:val="1455"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 Day habilitation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the member’s acuity tier, determined pursuant to </w:t>
            </w:r>
            <w:hyperlink r:id="rId35">
              <w:r>
                <w:rPr>
                  <w:rStyle w:val="Hyperlink"/>
                  <w:rFonts w:ascii="Times New Roman" w:hAnsi="Times New Roman"/>
                  <w:b w:val="false"/>
                  <w:i w:val="false"/>
                  <w:color w:val="000000"/>
                  <w:sz w:val="16"/>
                </w:rPr>
                <w:t>79.1(30)</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Effective 8/1/25: Provider’s rate in effect 7/31/25 plus 0.9%, converted to a 15-minute rate. If no 7/31/25 rate: $3.97 per 15-minute unit. For daily service, the fee schedule rate published on the department’s website, pursuant to </w:t>
            </w:r>
            <w:hyperlink r:id="rId36">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r>
              <w:rPr>
                <w:rFonts w:ascii="Times New Roman" w:hAnsi="Times New Roman"/>
                <w:b w:val="false"/>
                <w:i w:val="false"/>
                <w:color w:val="000000"/>
                <w:sz w:val="16"/>
              </w:rPr>
              <w:t xml:space="preserve"> for the member’s acuity tier, determined pursuant to </w:t>
            </w:r>
            <w:hyperlink r:id="rId37">
              <w:r>
                <w:rPr>
                  <w:rStyle w:val="Hyperlink"/>
                  <w:rFonts w:ascii="Times New Roman" w:hAnsi="Times New Roman"/>
                  <w:b w:val="false"/>
                  <w:i w:val="false"/>
                  <w:color w:val="000000"/>
                  <w:sz w:val="16"/>
                </w:rPr>
                <w:t>79.1(30)</w:t>
              </w:r>
            </w:hyperlink>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27. Environmental modifications</w:t>
            </w:r>
          </w:p>
          <w:p>
            <w:pPr>
              <w:spacing w:before="0" w:after="0"/>
              <w:ind w:left="448"/>
              <w:jc w:val="left"/>
            </w:pPr>
            <w:r>
              <w:rPr>
                <w:rFonts w:ascii="Times New Roman" w:hAnsi="Times New Roman"/>
                <w:b w:val="false"/>
                <w:i w:val="false"/>
                <w:color w:val="000000"/>
                <w:sz w:val="16"/>
              </w:rPr>
              <w:t>and adaptive devices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38">
              <w:r>
                <w:rPr>
                  <w:rStyle w:val="Hyperlink"/>
                  <w:rFonts w:ascii="Times New Roman" w:hAnsi="Times New Roman"/>
                  <w:b w:val="false"/>
                  <w:i w:val="false"/>
                  <w:color w:val="000000"/>
                  <w:sz w:val="16"/>
                </w:rPr>
                <w:t>79.1(17)</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$7,154.64 per year</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28. Family and community support</w:t>
            </w:r>
          </w:p>
          <w:p>
            <w:pPr>
              <w:spacing w:before="0" w:after="0"/>
              <w:ind w:left="448"/>
              <w:jc w:val="left"/>
            </w:pPr>
            <w:r>
              <w:rPr>
                <w:rFonts w:ascii="Times New Roman" w:hAnsi="Times New Roman"/>
                <w:b w:val="false"/>
                <w:i w:val="false"/>
                <w:color w:val="000000"/>
                <w:sz w:val="16"/>
              </w:rPr>
              <w:t>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Retrospectively limited prospective rates. See </w:t>
            </w:r>
            <w:hyperlink r:id="rId39">
              <w:r>
                <w:rPr>
                  <w:rStyle w:val="Hyperlink"/>
                  <w:rFonts w:ascii="Times New Roman" w:hAnsi="Times New Roman"/>
                  <w:b w:val="false"/>
                  <w:i w:val="false"/>
                  <w:color w:val="000000"/>
                  <w:sz w:val="16"/>
                </w:rPr>
                <w:t>79.1(15)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$10.43 per 15-minute unit</w:t>
            </w:r>
          </w:p>
        </w:tc>
      </w:tr>
      <w:tr>
        <w:trPr>
          <w:trHeight w:val="75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29. In-home family therapy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converted to a 15-minute rate. If no 6/30/24 rate: $27.92 per 15-minute unit</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 Financial management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$77.51 per enrolled member per month</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 Independent support broker</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$18.06 per hour</w:t>
            </w:r>
          </w:p>
        </w:tc>
      </w:tr>
      <w:tr>
        <w:trPr>
          <w:trHeight w:val="1275"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 Self-directed personal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Determined by member’s individual budget. When an individual who serves as a member’s legal representative provides services to the member as allowed by the payment rate must be based on 441—subparagraph </w:t>
            </w:r>
            <w:hyperlink r:id="rId40">
              <w:r>
                <w:rPr>
                  <w:rStyle w:val="Hyperlink"/>
                  <w:rFonts w:ascii="Times New Roman" w:hAnsi="Times New Roman"/>
                  <w:b w:val="false"/>
                  <w:i w:val="false"/>
                  <w:color w:val="000000"/>
                  <w:sz w:val="16"/>
                </w:rPr>
                <w:t>78.34(13)</w:t>
              </w:r>
              <w:r>
                <w:rPr>
                  <w:rFonts w:ascii="Times New Roman" w:hAnsi="Times New Roman"/>
                  <w:b w:val="false"/>
                  <w:i/>
                  <w:color w:val="000000"/>
                  <w:sz w:val="16"/>
                </w:rPr>
                <w:t>“g”</w:t>
              </w:r>
              <w:r>
                <w:rPr>
                  <w:rFonts w:ascii="Times New Roman" w:hAnsi="Times New Roman"/>
                  <w:b w:val="false"/>
                  <w:i w:val="false"/>
                  <w:color w:val="000000"/>
                  <w:sz w:val="16"/>
                </w:rPr>
                <w:t>(2)</w:t>
              </w:r>
            </w:hyperlink>
          </w:p>
        </w:tc>
      </w:tr>
      <w:tr>
        <w:trPr>
          <w:trHeight w:val="1275"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 Self-directed community</w:t>
            </w:r>
          </w:p>
          <w:p>
            <w:pPr>
              <w:spacing w:before="0" w:after="0"/>
              <w:ind w:left="448"/>
              <w:jc w:val="left"/>
            </w:pPr>
            <w:r>
              <w:rPr>
                <w:rFonts w:ascii="Times New Roman" w:hAnsi="Times New Roman"/>
                <w:b w:val="false"/>
                <w:i w:val="false"/>
                <w:color w:val="000000"/>
                <w:sz w:val="16"/>
              </w:rPr>
              <w:t>supports and employment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Determined by member’s individual budget. When an individual who serves as a member’s legal representative provides services to the member as allowed by </w:t>
            </w:r>
            <w:hyperlink r:id="rId41">
              <w:r>
                <w:rPr>
                  <w:rStyle w:val="Hyperlink"/>
                  <w:rFonts w:ascii="Times New Roman" w:hAnsi="Times New Roman"/>
                  <w:b w:val="false"/>
                  <w:i w:val="false"/>
                  <w:color w:val="000000"/>
                  <w:sz w:val="16"/>
                </w:rPr>
                <w:t>79.9(7)</w:t>
              </w:r>
              <w:r>
                <w:rPr>
                  <w:rFonts w:ascii="Times New Roman" w:hAnsi="Times New Roman"/>
                  <w:b w:val="false"/>
                  <w:i/>
                  <w:color w:val="000000"/>
                  <w:sz w:val="16"/>
                </w:rPr>
                <w:t>“b,”</w:t>
              </w:r>
            </w:hyperlink>
            <w:r>
              <w:rPr>
                <w:rFonts w:ascii="Times New Roman" w:hAnsi="Times New Roman"/>
                <w:b w:val="false"/>
                <w:i w:val="false"/>
                <w:color w:val="000000"/>
                <w:sz w:val="16"/>
              </w:rPr>
              <w:t xml:space="preserve"> the payment rate must be based on 441—subparagraph </w:t>
            </w:r>
            <w:hyperlink r:id="rId42">
              <w:r>
                <w:rPr>
                  <w:rStyle w:val="Hyperlink"/>
                  <w:rFonts w:ascii="Times New Roman" w:hAnsi="Times New Roman"/>
                  <w:b w:val="false"/>
                  <w:i w:val="false"/>
                  <w:color w:val="000000"/>
                  <w:sz w:val="16"/>
                </w:rPr>
                <w:t>78.34(13)</w:t>
              </w:r>
              <w:r>
                <w:rPr>
                  <w:rFonts w:ascii="Times New Roman" w:hAnsi="Times New Roman"/>
                  <w:b w:val="false"/>
                  <w:i/>
                  <w:color w:val="000000"/>
                  <w:sz w:val="16"/>
                </w:rPr>
                <w:t>“g”</w:t>
              </w:r>
              <w:r>
                <w:rPr>
                  <w:rFonts w:ascii="Times New Roman" w:hAnsi="Times New Roman"/>
                  <w:b w:val="false"/>
                  <w:i w:val="false"/>
                  <w:color w:val="000000"/>
                  <w:sz w:val="16"/>
                </w:rPr>
                <w:t>(2)</w:t>
              </w:r>
            </w:hyperlink>
          </w:p>
        </w:tc>
      </w:tr>
      <w:tr>
        <w:trPr>
          <w:trHeight w:val="1275"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34. Individual-directed goods</w:t>
            </w:r>
          </w:p>
          <w:p>
            <w:pPr>
              <w:spacing w:before="0" w:after="0"/>
              <w:ind w:left="448"/>
              <w:jc w:val="left"/>
            </w:pPr>
            <w:r>
              <w:rPr>
                <w:rFonts w:ascii="Times New Roman" w:hAnsi="Times New Roman"/>
                <w:b w:val="false"/>
                <w:i w:val="false"/>
                <w:color w:val="000000"/>
                <w:sz w:val="16"/>
              </w:rPr>
              <w:t>and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Determined by member’s individual budget. When an individual who serves as a member’s legal representative provides services to the member as allowed by </w:t>
            </w:r>
            <w:hyperlink r:id="rId43">
              <w:r>
                <w:rPr>
                  <w:rStyle w:val="Hyperlink"/>
                  <w:rFonts w:ascii="Times New Roman" w:hAnsi="Times New Roman"/>
                  <w:b w:val="false"/>
                  <w:i w:val="false"/>
                  <w:color w:val="000000"/>
                  <w:sz w:val="16"/>
                </w:rPr>
                <w:t>79.9(7)</w:t>
              </w:r>
              <w:r>
                <w:rPr>
                  <w:rFonts w:ascii="Times New Roman" w:hAnsi="Times New Roman"/>
                  <w:b w:val="false"/>
                  <w:i/>
                  <w:color w:val="000000"/>
                  <w:sz w:val="16"/>
                </w:rPr>
                <w:t>“b,”</w:t>
              </w:r>
            </w:hyperlink>
            <w:r>
              <w:rPr>
                <w:rFonts w:ascii="Times New Roman" w:hAnsi="Times New Roman"/>
                <w:b w:val="false"/>
                <w:i w:val="false"/>
                <w:color w:val="000000"/>
                <w:sz w:val="16"/>
              </w:rPr>
              <w:t xml:space="preserve"> the payment rate must be based on </w:t>
            </w:r>
            <w:hyperlink r:id="rId44">
              <w:r>
                <w:rPr>
                  <w:rStyle w:val="Hyperlink"/>
                  <w:rFonts w:ascii="Times New Roman" w:hAnsi="Times New Roman"/>
                  <w:b w:val="false"/>
                  <w:i w:val="false"/>
                  <w:color w:val="000000"/>
                  <w:sz w:val="16"/>
                </w:rPr>
                <w:t>441—subparagraph 78.34(13)</w:t>
              </w:r>
            </w:hyperlink>
            <w:r>
              <w:rPr>
                <w:rFonts w:ascii="Times New Roman" w:hAnsi="Times New Roman"/>
                <w:b w:val="false"/>
                <w:i/>
                <w:color w:val="000000"/>
                <w:sz w:val="16"/>
              </w:rPr>
              <w:t>“g”</w:t>
            </w:r>
            <w:r>
              <w:rPr>
                <w:rFonts w:ascii="Times New Roman" w:hAnsi="Times New Roman"/>
                <w:b w:val="false"/>
                <w:i w:val="false"/>
                <w:color w:val="000000"/>
                <w:sz w:val="16"/>
              </w:rPr>
              <w:t>(2)</w:t>
            </w:r>
          </w:p>
        </w:tc>
      </w:tr>
      <w:tr>
        <w:trPr>
          <w:trHeight w:val="57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 Assisted living on-call</w:t>
            </w:r>
          </w:p>
          <w:p>
            <w:pPr>
              <w:spacing w:before="0" w:after="0"/>
              <w:ind w:left="448"/>
              <w:jc w:val="left"/>
            </w:pPr>
            <w:r>
              <w:rPr>
                <w:rFonts w:ascii="Times New Roman" w:hAnsi="Times New Roman"/>
                <w:b w:val="false"/>
                <w:i w:val="false"/>
                <w:color w:val="000000"/>
                <w:sz w:val="16"/>
              </w:rPr>
              <w:t>service providers (elderly</w:t>
            </w:r>
          </w:p>
          <w:p>
            <w:pPr>
              <w:spacing w:before="0" w:after="0"/>
              <w:ind w:left="448"/>
              <w:jc w:val="left"/>
            </w:pPr>
            <w:r>
              <w:rPr>
                <w:rFonts w:ascii="Times New Roman" w:hAnsi="Times New Roman"/>
                <w:b w:val="false"/>
                <w:i w:val="false"/>
                <w:color w:val="000000"/>
                <w:sz w:val="16"/>
              </w:rPr>
              <w:t>waiver only)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agreed upon by member </w:t>
            </w:r>
            <w:r>
              <w:br/>
            </w:r>
            <w:r>
              <w:rPr>
                <w:rFonts w:ascii="Times New Roman" w:hAnsi="Times New Roman"/>
                <w:b w:val="false"/>
                <w:i w:val="false"/>
                <w:color w:val="000000"/>
                <w:sz w:val="16"/>
              </w:rPr>
              <w:t>and provider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$29.31 per day</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Hearing aid dispensers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plus product </w:t>
            </w:r>
            <w:r>
              <w:br/>
            </w:r>
            <w:r>
              <w:rPr>
                <w:rFonts w:ascii="Times New Roman" w:hAnsi="Times New Roman"/>
                <w:b w:val="false"/>
                <w:i w:val="false"/>
                <w:color w:val="000000"/>
                <w:sz w:val="16"/>
              </w:rPr>
              <w:t>acquisition cost</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Home- and community-based</w:t>
            </w:r>
          </w:p>
          <w:p>
            <w:pPr>
              <w:spacing w:before="0" w:after="0"/>
              <w:ind w:left="304"/>
              <w:jc w:val="left"/>
            </w:pPr>
            <w:r>
              <w:rPr>
                <w:rFonts w:ascii="Times New Roman" w:hAnsi="Times New Roman"/>
                <w:b w:val="false"/>
                <w:i w:val="false"/>
                <w:color w:val="000000"/>
                <w:sz w:val="16"/>
              </w:rPr>
              <w:t>habilitation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1. Case management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Fee schedule in effect 6/30/22 plus 4.25%</w:t>
            </w:r>
          </w:p>
        </w:tc>
      </w:tr>
      <w:tr>
        <w:trPr>
          <w:trHeight w:val="21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2. Home-based habilitation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w:t>
            </w:r>
          </w:p>
        </w:tc>
      </w:tr>
      <w:tr>
        <w:trPr>
          <w:trHeight w:val="39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3. Day habilitation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$3.75 per 15-minute unit or $72.90 per day</w:t>
            </w:r>
          </w:p>
        </w:tc>
      </w:tr>
      <w:tr>
        <w:trPr>
          <w:trHeight w:val="39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4. Prevocational habilitation</w:t>
            </w:r>
          </w:p>
          <w:p>
            <w:pPr>
              <w:spacing w:before="0" w:after="0"/>
              <w:ind w:left="448"/>
              <w:jc w:val="left"/>
            </w:pPr>
            <w:r>
              <w:rPr>
                <w:rFonts w:ascii="Times New Roman" w:hAnsi="Times New Roman"/>
                <w:b w:val="false"/>
                <w:i w:val="false"/>
                <w:color w:val="000000"/>
                <w:sz w:val="16"/>
              </w:rPr>
              <w:t>Career exploration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w:t>
            </w:r>
          </w:p>
        </w:tc>
      </w:tr>
      <w:tr>
        <w:trPr>
          <w:trHeight w:val="21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5. Supported employment: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Individual supported employment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75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Long-term job coaching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75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 xml:space="preserve">Small-group supported employment </w:t>
            </w:r>
          </w:p>
          <w:p>
            <w:pPr>
              <w:spacing w:before="0" w:after="0"/>
              <w:ind w:left="592"/>
              <w:jc w:val="left"/>
            </w:pPr>
            <w:r>
              <w:rPr>
                <w:rFonts w:ascii="Times New Roman" w:hAnsi="Times New Roman"/>
                <w:b w:val="false"/>
                <w:i w:val="false"/>
                <w:color w:val="000000"/>
                <w:sz w:val="16"/>
              </w:rPr>
              <w:t>(2 to 8 individuals)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Maximum 160 units per week. Total monthly cost for all supported employment services not to exceed $3,692.34 per month</w:t>
            </w:r>
          </w:p>
        </w:tc>
      </w:tr>
      <w:tr>
        <w:trPr>
          <w:trHeight w:val="75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Individual placement and support </w:t>
            </w:r>
          </w:p>
          <w:p>
            <w:pPr>
              <w:spacing w:before="0" w:after="0"/>
              <w:ind w:left="304"/>
              <w:jc w:val="left"/>
            </w:pPr>
            <w:r>
              <w:rPr>
                <w:rFonts w:ascii="Times New Roman" w:hAnsi="Times New Roman"/>
                <w:b w:val="false"/>
                <w:i w:val="false"/>
                <w:color w:val="000000"/>
                <w:sz w:val="16"/>
              </w:rPr>
              <w:t>supported employment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123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Home health agencies</w:t>
            </w:r>
          </w:p>
          <w:p>
            <w:pPr>
              <w:spacing w:before="0" w:after="0"/>
              <w:ind w:left="160"/>
              <w:jc w:val="left"/>
            </w:pPr>
            <w:r>
              <w:rPr>
                <w:rFonts w:ascii="Times New Roman" w:hAnsi="Times New Roman"/>
                <w:b w:val="false"/>
                <w:i w:val="false"/>
                <w:color w:val="000000"/>
                <w:sz w:val="16"/>
              </w:rPr>
              <w:t> </w:t>
            </w:r>
          </w:p>
          <w:p>
            <w:pPr>
              <w:spacing w:before="0" w:after="0"/>
              <w:ind w:left="304"/>
              <w:jc w:val="left"/>
            </w:pPr>
            <w:r>
              <w:rPr>
                <w:rFonts w:ascii="Times New Roman" w:hAnsi="Times New Roman"/>
                <w:b w:val="false"/>
                <w:i w:val="false"/>
                <w:color w:val="000000"/>
                <w:sz w:val="16"/>
              </w:rPr>
              <w:t xml:space="preserve">1. Skilled nursing, physical therapy, occupational therapy, speech therapy, </w:t>
            </w:r>
            <w:r>
              <w:br/>
            </w:r>
            <w:r>
              <w:rPr>
                <w:rFonts w:ascii="Times New Roman" w:hAnsi="Times New Roman"/>
                <w:b w:val="false"/>
                <w:i w:val="false"/>
                <w:color w:val="000000"/>
                <w:sz w:val="16"/>
              </w:rPr>
              <w:t>home health aide, and medical social services; home health care for maternity patients and children</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Fee schedule. See </w:t>
            </w:r>
            <w:hyperlink r:id="rId45">
              <w:r>
                <w:rPr>
                  <w:rStyle w:val="Hyperlink"/>
                  <w:rFonts w:ascii="Times New Roman" w:hAnsi="Times New Roman"/>
                  <w:b w:val="false"/>
                  <w:i w:val="false"/>
                  <w:color w:val="000000"/>
                  <w:sz w:val="16"/>
                </w:rPr>
                <w:t>79.1(26)</w:t>
              </w:r>
            </w:hyperlink>
            <w:r>
              <w:rPr>
                <w:rFonts w:ascii="Times New Roman" w:hAnsi="Times New Roman"/>
                <w:b w:val="false"/>
                <w:i w:val="false"/>
                <w:color w:val="000000"/>
                <w:sz w:val="16"/>
              </w:rPr>
              <w:t xml:space="preserve">. For members living in a nursing facility, see </w:t>
            </w:r>
            <w:hyperlink r:id="rId46">
              <w:r>
                <w:rPr>
                  <w:rStyle w:val="Hyperlink"/>
                  <w:rFonts w:ascii="Times New Roman" w:hAnsi="Times New Roman"/>
                  <w:b w:val="false"/>
                  <w:i w:val="false"/>
                  <w:color w:val="000000"/>
                  <w:sz w:val="16"/>
                </w:rPr>
                <w:t>441—paragraph 81.5(11)</w:t>
              </w:r>
              <w:r>
                <w:rPr>
                  <w:rFonts w:ascii="Times New Roman" w:hAnsi="Times New Roman"/>
                  <w:b w:val="false"/>
                  <w:i/>
                  <w:color w:val="000000"/>
                  <w:sz w:val="16"/>
                </w:rPr>
                <w:t>“q”</w:t>
              </w:r>
            </w:hyperlink>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Effective 7/1/22: The Medicaid LUPA fee schedule rate published on the department’s website</w:t>
            </w:r>
          </w:p>
        </w:tc>
      </w:tr>
      <w:tr>
        <w:trPr>
          <w:trHeight w:val="57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2. Private-duty nursing and</w:t>
            </w:r>
          </w:p>
          <w:p>
            <w:pPr>
              <w:spacing w:before="0" w:after="0"/>
              <w:ind w:left="304"/>
              <w:jc w:val="left"/>
            </w:pPr>
            <w:r>
              <w:rPr>
                <w:rFonts w:ascii="Times New Roman" w:hAnsi="Times New Roman"/>
                <w:b w:val="false"/>
                <w:i w:val="false"/>
                <w:color w:val="000000"/>
                <w:sz w:val="16"/>
              </w:rPr>
              <w:t xml:space="preserve">personal cares for members aged </w:t>
            </w:r>
            <w:r>
              <w:br/>
            </w:r>
            <w:r>
              <w:rPr>
                <w:rFonts w:ascii="Times New Roman" w:hAnsi="Times New Roman"/>
                <w:b w:val="false"/>
                <w:i w:val="false"/>
                <w:color w:val="000000"/>
                <w:sz w:val="16"/>
              </w:rPr>
              <w:t>20 or under</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Retrospective cost-related. </w:t>
            </w:r>
            <w:r>
              <w:br/>
            </w:r>
            <w:r>
              <w:rPr>
                <w:rFonts w:ascii="Times New Roman" w:hAnsi="Times New Roman"/>
                <w:b w:val="false"/>
                <w:i w:val="false"/>
                <w:color w:val="000000"/>
                <w:sz w:val="16"/>
              </w:rPr>
              <w:t xml:space="preserve">See </w:t>
            </w:r>
            <w:hyperlink r:id="rId47">
              <w:r>
                <w:rPr>
                  <w:rStyle w:val="Hyperlink"/>
                  <w:rFonts w:ascii="Times New Roman" w:hAnsi="Times New Roman"/>
                  <w:b w:val="false"/>
                  <w:i w:val="false"/>
                  <w:color w:val="000000"/>
                  <w:sz w:val="16"/>
                </w:rPr>
                <w:t>79.1(27)</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7/1/13: Actual and allowable cost not to exceed a maximum of 133% of statewide average</w:t>
            </w:r>
          </w:p>
        </w:tc>
      </w:tr>
      <w:tr>
        <w:trPr>
          <w:trHeight w:val="21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3. Administration of vaccines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fee schedule rate</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as determined</w:t>
            </w:r>
            <w:r>
              <w:br/>
            </w:r>
            <w:r>
              <w:rPr>
                <w:rFonts w:ascii="Times New Roman" w:hAnsi="Times New Roman"/>
                <w:b w:val="false"/>
                <w:i w:val="false"/>
                <w:color w:val="000000"/>
                <w:sz w:val="16"/>
              </w:rPr>
              <w:t>by Medicare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Medicare cap. (See </w:t>
            </w:r>
            <w:hyperlink r:id="rId48">
              <w:r>
                <w:rPr>
                  <w:rStyle w:val="Hyperlink"/>
                  <w:rFonts w:ascii="Times New Roman" w:hAnsi="Times New Roman"/>
                  <w:b w:val="false"/>
                  <w:i w:val="false"/>
                  <w:color w:val="000000"/>
                  <w:sz w:val="16"/>
                </w:rPr>
                <w:t>79.1(14)</w:t>
              </w:r>
              <w:r>
                <w:rPr>
                  <w:rFonts w:ascii="Times New Roman" w:hAnsi="Times New Roman"/>
                  <w:b w:val="false"/>
                  <w:i/>
                  <w:color w:val="000000"/>
                  <w:sz w:val="16"/>
                </w:rPr>
                <w:t>“d”</w:t>
              </w:r>
            </w:hyperlink>
            <w:r>
              <w:rPr>
                <w:rFonts w:ascii="Times New Roman" w:hAnsi="Times New Roman"/>
                <w:b w:val="false"/>
                <w:i w:val="false"/>
                <w:color w:val="000000"/>
                <w:sz w:val="16"/>
              </w:rPr>
              <w:t>)</w:t>
            </w:r>
          </w:p>
        </w:tc>
      </w:tr>
      <w:tr>
        <w:trPr>
          <w:trHeight w:val="75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Hospitals (Critical access)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Retrospectively adjusted prospective rates. See </w:t>
            </w:r>
            <w:hyperlink r:id="rId49">
              <w:r>
                <w:rPr>
                  <w:rStyle w:val="Hyperlink"/>
                  <w:rFonts w:ascii="Times New Roman" w:hAnsi="Times New Roman"/>
                  <w:b w:val="false"/>
                  <w:i w:val="false"/>
                  <w:color w:val="000000"/>
                  <w:sz w:val="16"/>
                </w:rPr>
                <w:t>79.1(1)</w:t>
              </w:r>
              <w:r>
                <w:rPr>
                  <w:rFonts w:ascii="Times New Roman" w:hAnsi="Times New Roman"/>
                  <w:b w:val="false"/>
                  <w:i/>
                  <w:color w:val="000000"/>
                  <w:sz w:val="16"/>
                </w:rPr>
                <w:t>“g”</w:t>
              </w:r>
            </w:hyperlink>
            <w:r>
              <w:rPr>
                <w:rFonts w:ascii="Times New Roman" w:hAnsi="Times New Roman"/>
                <w:b w:val="false"/>
                <w:i w:val="false"/>
                <w:color w:val="000000"/>
                <w:sz w:val="16"/>
              </w:rPr>
              <w:t xml:space="preserve"> and </w:t>
            </w:r>
            <w:hyperlink r:id="rId50">
              <w:r>
                <w:rPr>
                  <w:rStyle w:val="Hyperlink"/>
                  <w:rFonts w:ascii="Times New Roman" w:hAnsi="Times New Roman"/>
                  <w:b w:val="false"/>
                  <w:i w:val="false"/>
                  <w:color w:val="000000"/>
                  <w:sz w:val="16"/>
                </w:rPr>
                <w:t>79.1(5)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reasonable cost of covered services provided to medical assistance recipients or the upper limits for other hospitals, whichever is greater</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Hospitals (Inpatient)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Prospective reimbursement.</w:t>
            </w:r>
            <w:r>
              <w:br/>
            </w:r>
            <w:r>
              <w:rPr>
                <w:rFonts w:ascii="Times New Roman" w:hAnsi="Times New Roman"/>
                <w:b w:val="false"/>
                <w:i w:val="false"/>
                <w:color w:val="000000"/>
                <w:sz w:val="16"/>
              </w:rPr>
              <w:t xml:space="preserve">See </w:t>
            </w:r>
            <w:hyperlink r:id="rId51">
              <w:r>
                <w:rPr>
                  <w:rStyle w:val="Hyperlink"/>
                  <w:rFonts w:ascii="Times New Roman" w:hAnsi="Times New Roman"/>
                  <w:b w:val="false"/>
                  <w:i w:val="false"/>
                  <w:color w:val="000000"/>
                  <w:sz w:val="16"/>
                </w:rPr>
                <w:t>79.1(5)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Reimbursement rate in effect 10/1/2021</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Hospitals (Outpatient)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Prospective reimbursement or </w:t>
            </w:r>
            <w:r>
              <w:br/>
            </w:r>
            <w:r>
              <w:rPr>
                <w:rFonts w:ascii="Times New Roman" w:hAnsi="Times New Roman"/>
                <w:b w:val="false"/>
                <w:i w:val="false"/>
                <w:color w:val="000000"/>
                <w:sz w:val="16"/>
              </w:rPr>
              <w:t>hospital outpatient fee schedule.</w:t>
            </w:r>
            <w:r>
              <w:br/>
            </w:r>
            <w:r>
              <w:rPr>
                <w:rFonts w:ascii="Times New Roman" w:hAnsi="Times New Roman"/>
                <w:b w:val="false"/>
                <w:i w:val="false"/>
                <w:color w:val="000000"/>
                <w:sz w:val="16"/>
              </w:rPr>
              <w:t xml:space="preserve">See </w:t>
            </w:r>
            <w:hyperlink r:id="rId52">
              <w:r>
                <w:rPr>
                  <w:rStyle w:val="Hyperlink"/>
                  <w:rFonts w:ascii="Times New Roman" w:hAnsi="Times New Roman"/>
                  <w:b w:val="false"/>
                  <w:i w:val="false"/>
                  <w:color w:val="000000"/>
                  <w:sz w:val="16"/>
                </w:rPr>
                <w:t>79.1(16)</w:t>
              </w:r>
              <w:r>
                <w:rPr>
                  <w:rFonts w:ascii="Times New Roman" w:hAnsi="Times New Roman"/>
                  <w:b w:val="false"/>
                  <w:i/>
                  <w:color w:val="000000"/>
                  <w:sz w:val="16"/>
                </w:rPr>
                <w:t>“c”</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Ambulatory payment classification rate or hospital outpatient fee schedule rate in effect 1/1/2021</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 laboratories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53">
              <w:r>
                <w:rPr>
                  <w:rStyle w:val="Hyperlink"/>
                  <w:rFonts w:ascii="Times New Roman" w:hAnsi="Times New Roman"/>
                  <w:b w:val="false"/>
                  <w:i w:val="false"/>
                  <w:color w:val="000000"/>
                  <w:sz w:val="16"/>
                </w:rPr>
                <w:t>79.1(6)</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Medicare fee schedule less 5%. </w:t>
            </w:r>
            <w:r>
              <w:br/>
            </w:r>
            <w:r>
              <w:rPr>
                <w:rFonts w:ascii="Times New Roman" w:hAnsi="Times New Roman"/>
                <w:b w:val="false"/>
                <w:i w:val="false"/>
                <w:color w:val="000000"/>
                <w:sz w:val="16"/>
              </w:rPr>
              <w:t xml:space="preserve">See </w:t>
            </w:r>
            <w:hyperlink r:id="rId54">
              <w:r>
                <w:rPr>
                  <w:rStyle w:val="Hyperlink"/>
                  <w:rFonts w:ascii="Times New Roman" w:hAnsi="Times New Roman"/>
                  <w:b w:val="false"/>
                  <w:i w:val="false"/>
                  <w:color w:val="000000"/>
                  <w:sz w:val="16"/>
                </w:rPr>
                <w:t>79.1(6)</w:t>
              </w:r>
            </w:hyperlink>
          </w:p>
        </w:tc>
      </w:tr>
      <w:tr>
        <w:trPr>
          <w:trHeight w:val="93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Indian health facilities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 Daily visit rate approved by the U.S. Indian Health Service (IHS) for services provided to American Indian and Alaskan native members. See </w:t>
            </w:r>
            <w:hyperlink r:id="rId55">
              <w:r>
                <w:rPr>
                  <w:rStyle w:val="Hyperlink"/>
                  <w:rFonts w:ascii="Times New Roman" w:hAnsi="Times New Roman"/>
                  <w:b w:val="false"/>
                  <w:i w:val="false"/>
                  <w:color w:val="000000"/>
                  <w:sz w:val="16"/>
                </w:rPr>
                <w:t>79.1(1)</w:t>
              </w:r>
              <w:r>
                <w:rPr>
                  <w:rFonts w:ascii="Times New Roman" w:hAnsi="Times New Roman"/>
                  <w:b w:val="false"/>
                  <w:i/>
                  <w:color w:val="000000"/>
                  <w:sz w:val="16"/>
                </w:rPr>
                <w:t>“h”</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IHS-approved rate published in the Federal Register as outpatient per visit rate (excluding Medicare)</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Fee schedule for service provided for all other Medicaid members.</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Fee schedule</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Infant and toddler program</w:t>
            </w:r>
          </w:p>
          <w:p>
            <w:pPr>
              <w:spacing w:before="0" w:after="0"/>
              <w:ind w:left="304"/>
              <w:jc w:val="left"/>
            </w:pPr>
            <w:r>
              <w:rPr>
                <w:rFonts w:ascii="Times New Roman" w:hAnsi="Times New Roman"/>
                <w:b w:val="false"/>
                <w:i w:val="false"/>
                <w:color w:val="000000"/>
                <w:sz w:val="16"/>
              </w:rPr>
              <w:t>providers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Intermediate care facilities</w:t>
            </w:r>
          </w:p>
          <w:p>
            <w:pPr>
              <w:spacing w:before="0" w:after="0"/>
              <w:ind w:left="304"/>
              <w:jc w:val="left"/>
            </w:pPr>
            <w:r>
              <w:rPr>
                <w:rFonts w:ascii="Times New Roman" w:hAnsi="Times New Roman"/>
                <w:b w:val="false"/>
                <w:i w:val="false"/>
                <w:color w:val="000000"/>
                <w:sz w:val="16"/>
              </w:rPr>
              <w:t>for persons with an intellectual disability</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Prospective reimbursement.</w:t>
            </w:r>
          </w:p>
          <w:p>
            <w:pPr>
              <w:spacing w:before="0" w:after="0"/>
              <w:ind w:left="160"/>
              <w:jc w:val="left"/>
            </w:pPr>
            <w:r>
              <w:rPr>
                <w:rFonts w:ascii="Times New Roman" w:hAnsi="Times New Roman"/>
                <w:b w:val="false"/>
                <w:i w:val="false"/>
                <w:color w:val="000000"/>
                <w:sz w:val="16"/>
              </w:rPr>
              <w:t xml:space="preserve">See </w:t>
            </w:r>
            <w:hyperlink r:id="rId56">
              <w:r>
                <w:rPr>
                  <w:rStyle w:val="Hyperlink"/>
                  <w:rFonts w:ascii="Times New Roman" w:hAnsi="Times New Roman"/>
                  <w:b w:val="false"/>
                  <w:i w:val="false"/>
                  <w:color w:val="000000"/>
                  <w:sz w:val="16"/>
                </w:rPr>
                <w:t>441—82.4</w:t>
              </w:r>
            </w:hyperlink>
            <w:r>
              <w:rPr>
                <w:rFonts w:ascii="Times New Roman" w:hAnsi="Times New Roman"/>
                <w:b w:val="false"/>
                <w:i w:val="false"/>
                <w:color w:val="000000"/>
                <w:sz w:val="16"/>
              </w:rPr>
              <w:t>(249A)</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Eightieth percentile of facility costs as calculated from annual cost reports</w:t>
            </w:r>
          </w:p>
        </w:tc>
      </w:tr>
      <w:tr>
        <w:trPr>
          <w:trHeight w:val="225"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Lead inspection agency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Local education agency</w:t>
            </w:r>
          </w:p>
          <w:p>
            <w:pPr>
              <w:spacing w:before="0" w:after="0"/>
              <w:ind w:left="304"/>
              <w:jc w:val="left"/>
            </w:pPr>
            <w:r>
              <w:rPr>
                <w:rFonts w:ascii="Times New Roman" w:hAnsi="Times New Roman"/>
                <w:b w:val="false"/>
                <w:i w:val="false"/>
                <w:color w:val="000000"/>
                <w:sz w:val="16"/>
              </w:rPr>
              <w:t>services providers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r>
      <w:tr>
        <w:trPr>
          <w:trHeight w:val="93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Maternal health centers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Reasonable cost per procedure on a prospective basis as determined by the department based on financial and statistical data submitted annually by the provider group</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5145"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Nursing facilities:</w:t>
            </w:r>
          </w:p>
          <w:p>
            <w:pPr>
              <w:spacing w:before="0" w:after="0"/>
              <w:ind w:left="304"/>
              <w:jc w:val="left"/>
            </w:pPr>
            <w:r>
              <w:rPr>
                <w:rFonts w:ascii="Times New Roman" w:hAnsi="Times New Roman"/>
                <w:b w:val="false"/>
                <w:i w:val="false"/>
                <w:color w:val="000000"/>
                <w:sz w:val="16"/>
              </w:rPr>
              <w:t>1. Nursing facility care</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Prospective reimbursement.</w:t>
            </w:r>
          </w:p>
          <w:p>
            <w:pPr>
              <w:spacing w:before="0" w:after="0"/>
              <w:ind w:left="160"/>
              <w:jc w:val="left"/>
            </w:pPr>
            <w:r>
              <w:rPr>
                <w:rFonts w:ascii="Times New Roman" w:hAnsi="Times New Roman"/>
                <w:b w:val="false"/>
                <w:i w:val="false"/>
                <w:color w:val="000000"/>
                <w:sz w:val="16"/>
              </w:rPr>
              <w:t xml:space="preserve">See </w:t>
            </w:r>
            <w:hyperlink r:id="rId57">
              <w:r>
                <w:rPr>
                  <w:rStyle w:val="Hyperlink"/>
                  <w:rFonts w:ascii="Times New Roman" w:hAnsi="Times New Roman"/>
                  <w:b w:val="false"/>
                  <w:i w:val="false"/>
                  <w:color w:val="000000"/>
                  <w:sz w:val="16"/>
                </w:rPr>
                <w:t>441—subrule 81.8(1)</w:t>
              </w:r>
            </w:hyperlink>
            <w:r>
              <w:rPr>
                <w:rFonts w:ascii="Times New Roman" w:hAnsi="Times New Roman"/>
                <w:b w:val="false"/>
                <w:i w:val="false"/>
                <w:color w:val="000000"/>
                <w:sz w:val="16"/>
              </w:rPr>
              <w:t xml:space="preserve"> and </w:t>
            </w:r>
            <w:hyperlink r:id="rId58">
              <w:r>
                <w:rPr>
                  <w:rStyle w:val="Hyperlink"/>
                  <w:rFonts w:ascii="Times New Roman" w:hAnsi="Times New Roman"/>
                  <w:b w:val="false"/>
                  <w:i w:val="false"/>
                  <w:color w:val="000000"/>
                  <w:sz w:val="16"/>
                </w:rPr>
                <w:t>441—81.5</w:t>
              </w:r>
            </w:hyperlink>
            <w:r>
              <w:rPr>
                <w:rFonts w:ascii="Times New Roman" w:hAnsi="Times New Roman"/>
                <w:b w:val="false"/>
                <w:i w:val="false"/>
                <w:color w:val="000000"/>
                <w:sz w:val="16"/>
              </w:rPr>
              <w:t xml:space="preserve">(249A). The percentage of the median used to calculate the direct care excess payment allowance ceiling under 441—numbered paragraphs </w:t>
            </w:r>
            <w:hyperlink r:id="rId59">
              <w:r>
                <w:rPr>
                  <w:rStyle w:val="Hyperlink"/>
                  <w:rFonts w:ascii="Times New Roman" w:hAnsi="Times New Roman"/>
                  <w:b w:val="false"/>
                  <w:i w:val="false"/>
                  <w:color w:val="000000"/>
                  <w:sz w:val="16"/>
                </w:rPr>
                <w:t>81.5(16)</w:t>
              </w:r>
              <w:r>
                <w:rPr>
                  <w:rFonts w:ascii="Times New Roman" w:hAnsi="Times New Roman"/>
                  <w:b w:val="false"/>
                  <w:i/>
                  <w:color w:val="000000"/>
                  <w:sz w:val="16"/>
                </w:rPr>
                <w:t>“d”</w:t>
              </w:r>
              <w:r>
                <w:rPr>
                  <w:rFonts w:ascii="Times New Roman" w:hAnsi="Times New Roman"/>
                  <w:b w:val="false"/>
                  <w:i w:val="false"/>
                  <w:color w:val="000000"/>
                  <w:sz w:val="16"/>
                </w:rPr>
                <w:t>(1)“1”</w:t>
              </w:r>
            </w:hyperlink>
            <w:r>
              <w:rPr>
                <w:rFonts w:ascii="Times New Roman" w:hAnsi="Times New Roman"/>
                <w:b w:val="false"/>
                <w:i w:val="false"/>
                <w:color w:val="000000"/>
                <w:sz w:val="16"/>
              </w:rPr>
              <w:t xml:space="preserve"> and (2)“1” is 95% of the patient-day-weighted median. The percentage of the difference used to calculate the direct care excess payment allowance is 0%. The percentage of the median used to calculate the direct care excess payment allowance limit is 10% of the patient-day-weighted median. The percentage of the median used to calculate the non-direct care excess payment allowance ceiling under 441—numbered paragraphs </w:t>
            </w:r>
            <w:hyperlink r:id="rId60">
              <w:r>
                <w:rPr>
                  <w:rStyle w:val="Hyperlink"/>
                  <w:rFonts w:ascii="Times New Roman" w:hAnsi="Times New Roman"/>
                  <w:b w:val="false"/>
                  <w:i w:val="false"/>
                  <w:color w:val="000000"/>
                  <w:sz w:val="16"/>
                </w:rPr>
                <w:t>81.5(16)</w:t>
              </w:r>
              <w:r>
                <w:rPr>
                  <w:rFonts w:ascii="Times New Roman" w:hAnsi="Times New Roman"/>
                  <w:b w:val="false"/>
                  <w:i/>
                  <w:color w:val="000000"/>
                  <w:sz w:val="16"/>
                </w:rPr>
                <w:t>“d”</w:t>
              </w:r>
              <w:r>
                <w:rPr>
                  <w:rFonts w:ascii="Times New Roman" w:hAnsi="Times New Roman"/>
                  <w:b w:val="false"/>
                  <w:i w:val="false"/>
                  <w:color w:val="000000"/>
                  <w:sz w:val="16"/>
                </w:rPr>
                <w:t>(1)“2”</w:t>
              </w:r>
            </w:hyperlink>
            <w:r>
              <w:rPr>
                <w:rFonts w:ascii="Times New Roman" w:hAnsi="Times New Roman"/>
                <w:b w:val="false"/>
                <w:i w:val="false"/>
                <w:color w:val="000000"/>
                <w:sz w:val="16"/>
              </w:rPr>
              <w:t xml:space="preserve"> and (2)“2” is 96% of the patient-day-weighted median.</w:t>
            </w:r>
          </w:p>
          <w:p>
            <w:pPr>
              <w:spacing w:before="0" w:after="0"/>
              <w:ind w:left="160"/>
              <w:jc w:val="left"/>
            </w:pPr>
            <w:r>
              <w:rPr>
                <w:rFonts w:ascii="Times New Roman" w:hAnsi="Times New Roman"/>
                <w:b w:val="false"/>
                <w:i w:val="false"/>
                <w:color w:val="000000"/>
                <w:sz w:val="16"/>
              </w:rPr>
              <w:t>The percentage of the difference used to calculate the non-direct care excess payment allowance limit is 0%. The percentage of the median used to calculate the non-direct care excess payment allowance limit is 8% of the patient-day-weighted median.</w:t>
            </w:r>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See 441—subrules </w:t>
            </w:r>
            <w:hyperlink r:id="rId61">
              <w:r>
                <w:rPr>
                  <w:rStyle w:val="Hyperlink"/>
                  <w:rFonts w:ascii="Times New Roman" w:hAnsi="Times New Roman"/>
                  <w:b w:val="false"/>
                  <w:i w:val="false"/>
                  <w:color w:val="000000"/>
                  <w:sz w:val="16"/>
                </w:rPr>
                <w:t>81.5(4)</w:t>
              </w:r>
            </w:hyperlink>
            <w:r>
              <w:rPr>
                <w:rFonts w:ascii="Times New Roman" w:hAnsi="Times New Roman"/>
                <w:b w:val="false"/>
                <w:i w:val="false"/>
                <w:color w:val="000000"/>
                <w:sz w:val="16"/>
              </w:rPr>
              <w:t xml:space="preserve"> and </w:t>
            </w:r>
            <w:hyperlink r:id="rId62">
              <w:r>
                <w:rPr>
                  <w:rStyle w:val="Hyperlink"/>
                  <w:rFonts w:ascii="Times New Roman" w:hAnsi="Times New Roman"/>
                  <w:b w:val="false"/>
                  <w:i w:val="false"/>
                  <w:color w:val="000000"/>
                  <w:sz w:val="16"/>
                </w:rPr>
                <w:t>81.5(14)</w:t>
              </w:r>
            </w:hyperlink>
            <w:r>
              <w:rPr>
                <w:rFonts w:ascii="Times New Roman" w:hAnsi="Times New Roman"/>
                <w:b w:val="false"/>
                <w:i w:val="false"/>
                <w:color w:val="000000"/>
                <w:sz w:val="16"/>
              </w:rPr>
              <w:t xml:space="preserve"> and paragraph </w:t>
            </w:r>
            <w:hyperlink r:id="rId63">
              <w:r>
                <w:rPr>
                  <w:rStyle w:val="Hyperlink"/>
                  <w:rFonts w:ascii="Times New Roman" w:hAnsi="Times New Roman"/>
                  <w:b w:val="false"/>
                  <w:i w:val="false"/>
                  <w:color w:val="000000"/>
                  <w:sz w:val="16"/>
                </w:rPr>
                <w:t>81.5(16)</w:t>
              </w:r>
              <w:r>
                <w:rPr>
                  <w:rFonts w:ascii="Times New Roman" w:hAnsi="Times New Roman"/>
                  <w:b w:val="false"/>
                  <w:i/>
                  <w:color w:val="000000"/>
                  <w:sz w:val="16"/>
                </w:rPr>
                <w:t>“f.”</w:t>
              </w:r>
            </w:hyperlink>
            <w:r>
              <w:rPr>
                <w:rFonts w:ascii="Times New Roman" w:hAnsi="Times New Roman"/>
                <w:b w:val="false"/>
                <w:i w:val="false"/>
                <w:color w:val="000000"/>
                <w:sz w:val="16"/>
              </w:rPr>
              <w:t xml:space="preserve"> The direct care rate component limit under </w:t>
            </w:r>
            <w:hyperlink r:id="rId64">
              <w:r>
                <w:rPr>
                  <w:rStyle w:val="Hyperlink"/>
                  <w:rFonts w:ascii="Times New Roman" w:hAnsi="Times New Roman"/>
                  <w:b w:val="false"/>
                  <w:i w:val="false"/>
                  <w:color w:val="000000"/>
                  <w:sz w:val="16"/>
                </w:rPr>
                <w:t>441—subparagraphs 81.5</w:t>
              </w:r>
            </w:hyperlink>
            <w:r>
              <w:rPr>
                <w:rFonts w:ascii="Times New Roman" w:hAnsi="Times New Roman"/>
                <w:b w:val="false"/>
                <w:i w:val="false"/>
                <w:color w:val="000000"/>
                <w:sz w:val="16"/>
              </w:rPr>
              <w:t>(16)</w:t>
            </w:r>
            <w:r>
              <w:rPr>
                <w:rFonts w:ascii="Times New Roman" w:hAnsi="Times New Roman"/>
                <w:b w:val="false"/>
                <w:i/>
                <w:color w:val="000000"/>
                <w:sz w:val="16"/>
              </w:rPr>
              <w:t>“f”</w:t>
            </w:r>
            <w:r>
              <w:rPr>
                <w:rFonts w:ascii="Times New Roman" w:hAnsi="Times New Roman"/>
                <w:b w:val="false"/>
                <w:i w:val="false"/>
                <w:color w:val="000000"/>
                <w:sz w:val="16"/>
              </w:rPr>
              <w:t xml:space="preserve">(1) and </w:t>
            </w:r>
            <w:r>
              <w:rPr>
                <w:rFonts w:ascii="Times New Roman" w:hAnsi="Times New Roman"/>
                <w:b w:val="false"/>
                <w:i/>
                <w:color w:val="000000"/>
                <w:sz w:val="16"/>
              </w:rPr>
              <w:t>“f”</w:t>
            </w:r>
            <w:r>
              <w:rPr>
                <w:rFonts w:ascii="Times New Roman" w:hAnsi="Times New Roman"/>
                <w:b w:val="false"/>
                <w:i w:val="false"/>
                <w:color w:val="000000"/>
                <w:sz w:val="16"/>
              </w:rPr>
              <w:t xml:space="preserve">(2) is 120% of the patient-day-weighted median. The non-direct care rate component limit under </w:t>
            </w:r>
            <w:hyperlink r:id="rId65">
              <w:r>
                <w:rPr>
                  <w:rStyle w:val="Hyperlink"/>
                  <w:rFonts w:ascii="Times New Roman" w:hAnsi="Times New Roman"/>
                  <w:b w:val="false"/>
                  <w:i w:val="false"/>
                  <w:color w:val="000000"/>
                  <w:sz w:val="16"/>
                </w:rPr>
                <w:t>441—subparagraphs 81.5</w:t>
              </w:r>
            </w:hyperlink>
            <w:r>
              <w:rPr>
                <w:rFonts w:ascii="Times New Roman" w:hAnsi="Times New Roman"/>
                <w:b w:val="false"/>
                <w:i w:val="false"/>
                <w:color w:val="000000"/>
                <w:sz w:val="16"/>
              </w:rPr>
              <w:t>(16)</w:t>
            </w:r>
            <w:r>
              <w:rPr>
                <w:rFonts w:ascii="Times New Roman" w:hAnsi="Times New Roman"/>
                <w:b w:val="false"/>
                <w:i/>
                <w:color w:val="000000"/>
                <w:sz w:val="16"/>
              </w:rPr>
              <w:t>“f”</w:t>
            </w:r>
            <w:r>
              <w:rPr>
                <w:rFonts w:ascii="Times New Roman" w:hAnsi="Times New Roman"/>
                <w:b w:val="false"/>
                <w:i w:val="false"/>
                <w:color w:val="000000"/>
                <w:sz w:val="16"/>
              </w:rPr>
              <w:t xml:space="preserve">(1) and </w:t>
            </w:r>
            <w:r>
              <w:rPr>
                <w:rFonts w:ascii="Times New Roman" w:hAnsi="Times New Roman"/>
                <w:b w:val="false"/>
                <w:i/>
                <w:color w:val="000000"/>
                <w:sz w:val="16"/>
              </w:rPr>
              <w:t>“f”</w:t>
            </w:r>
            <w:r>
              <w:rPr>
                <w:rFonts w:ascii="Times New Roman" w:hAnsi="Times New Roman"/>
                <w:b w:val="false"/>
                <w:i w:val="false"/>
                <w:color w:val="000000"/>
                <w:sz w:val="16"/>
              </w:rPr>
              <w:t>(2) is 110% of the patient-day-weighted median</w:t>
            </w:r>
          </w:p>
        </w:tc>
      </w:tr>
      <w:tr>
        <w:trPr>
          <w:trHeight w:val="4845"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2. Hospital-based, Medicare-certified </w:t>
            </w:r>
          </w:p>
          <w:p>
            <w:pPr>
              <w:spacing w:before="0" w:after="0"/>
              <w:ind w:left="304"/>
              <w:jc w:val="left"/>
            </w:pPr>
            <w:r>
              <w:rPr>
                <w:rFonts w:ascii="Times New Roman" w:hAnsi="Times New Roman"/>
                <w:b w:val="false"/>
                <w:i w:val="false"/>
                <w:color w:val="000000"/>
                <w:sz w:val="16"/>
              </w:rPr>
              <w:t>nursing care</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Prospective reimbursement.</w:t>
            </w:r>
          </w:p>
          <w:p>
            <w:pPr>
              <w:spacing w:before="0" w:after="0"/>
              <w:ind w:left="160"/>
              <w:jc w:val="left"/>
            </w:pPr>
            <w:r>
              <w:rPr>
                <w:rFonts w:ascii="Times New Roman" w:hAnsi="Times New Roman"/>
                <w:b w:val="false"/>
                <w:i w:val="false"/>
                <w:color w:val="000000"/>
                <w:sz w:val="16"/>
              </w:rPr>
              <w:t xml:space="preserve">See </w:t>
            </w:r>
            <w:hyperlink r:id="rId66">
              <w:r>
                <w:rPr>
                  <w:rStyle w:val="Hyperlink"/>
                  <w:rFonts w:ascii="Times New Roman" w:hAnsi="Times New Roman"/>
                  <w:b w:val="false"/>
                  <w:i w:val="false"/>
                  <w:color w:val="000000"/>
                  <w:sz w:val="16"/>
                </w:rPr>
                <w:t>441—subrule 81.8(1)</w:t>
              </w:r>
            </w:hyperlink>
            <w:r>
              <w:rPr>
                <w:rFonts w:ascii="Times New Roman" w:hAnsi="Times New Roman"/>
                <w:b w:val="false"/>
                <w:i w:val="false"/>
                <w:color w:val="000000"/>
                <w:sz w:val="16"/>
              </w:rPr>
              <w:t xml:space="preserve"> and </w:t>
            </w:r>
            <w:hyperlink r:id="rId67">
              <w:r>
                <w:rPr>
                  <w:rStyle w:val="Hyperlink"/>
                  <w:rFonts w:ascii="Times New Roman" w:hAnsi="Times New Roman"/>
                  <w:b w:val="false"/>
                  <w:i w:val="false"/>
                  <w:color w:val="000000"/>
                  <w:sz w:val="16"/>
                </w:rPr>
                <w:t>441—81.5</w:t>
              </w:r>
            </w:hyperlink>
            <w:r>
              <w:rPr>
                <w:rFonts w:ascii="Times New Roman" w:hAnsi="Times New Roman"/>
                <w:b w:val="false"/>
                <w:i w:val="false"/>
                <w:color w:val="000000"/>
                <w:sz w:val="16"/>
              </w:rPr>
              <w:t xml:space="preserve">(249A). The percentage of the median used to calculate the direct care excess payment allowance ceiling under </w:t>
            </w:r>
            <w:hyperlink r:id="rId68">
              <w:r>
                <w:rPr>
                  <w:rStyle w:val="Hyperlink"/>
                  <w:rFonts w:ascii="Times New Roman" w:hAnsi="Times New Roman"/>
                  <w:b w:val="false"/>
                  <w:i w:val="false"/>
                  <w:color w:val="000000"/>
                  <w:sz w:val="16"/>
                </w:rPr>
                <w:t>441—numbered paragraph 81.5</w:t>
              </w:r>
            </w:hyperlink>
            <w:r>
              <w:rPr>
                <w:rFonts w:ascii="Times New Roman" w:hAnsi="Times New Roman"/>
                <w:b w:val="false"/>
                <w:i w:val="false"/>
                <w:color w:val="000000"/>
                <w:sz w:val="16"/>
              </w:rPr>
              <w:t>(16)</w:t>
            </w:r>
            <w:r>
              <w:rPr>
                <w:rFonts w:ascii="Times New Roman" w:hAnsi="Times New Roman"/>
                <w:b w:val="false"/>
                <w:i/>
                <w:color w:val="000000"/>
                <w:sz w:val="16"/>
              </w:rPr>
              <w:t>“d”</w:t>
            </w:r>
            <w:r>
              <w:rPr>
                <w:rFonts w:ascii="Times New Roman" w:hAnsi="Times New Roman"/>
                <w:b w:val="false"/>
                <w:i w:val="false"/>
                <w:color w:val="000000"/>
                <w:sz w:val="16"/>
              </w:rPr>
              <w:t xml:space="preserve">(3)“1” is 95% of the patient-day-weighted median. The percentage of the difference used to calculate the direct care excess payment allowance is 0%. The percentage of the median used to calculate the direct care excess payment allowance limit is 10% of the patient-day-weighted median. The percentage of the median used to calculate the non-direct care excess payment allowance ceiling under </w:t>
            </w:r>
            <w:hyperlink r:id="rId69">
              <w:r>
                <w:rPr>
                  <w:rStyle w:val="Hyperlink"/>
                  <w:rFonts w:ascii="Times New Roman" w:hAnsi="Times New Roman"/>
                  <w:b w:val="false"/>
                  <w:i w:val="false"/>
                  <w:color w:val="000000"/>
                  <w:sz w:val="16"/>
                </w:rPr>
                <w:t>441—numbered paragraph 81.5</w:t>
              </w:r>
            </w:hyperlink>
            <w:r>
              <w:rPr>
                <w:rFonts w:ascii="Times New Roman" w:hAnsi="Times New Roman"/>
                <w:b w:val="false"/>
                <w:i w:val="false"/>
                <w:color w:val="000000"/>
                <w:sz w:val="16"/>
              </w:rPr>
              <w:t>(16)</w:t>
            </w:r>
            <w:r>
              <w:rPr>
                <w:rFonts w:ascii="Times New Roman" w:hAnsi="Times New Roman"/>
                <w:b w:val="false"/>
                <w:i/>
                <w:color w:val="000000"/>
                <w:sz w:val="16"/>
              </w:rPr>
              <w:t>“d”</w:t>
            </w:r>
            <w:r>
              <w:rPr>
                <w:rFonts w:ascii="Times New Roman" w:hAnsi="Times New Roman"/>
                <w:b w:val="false"/>
                <w:i w:val="false"/>
                <w:color w:val="000000"/>
                <w:sz w:val="16"/>
              </w:rPr>
              <w:t>(3)“2” is 96% of the patient-day-weighted median. The percentage of the difference used to calculate the non-direct care excess payment allowance limit is 0%. The percentage of the median used to calculate the non-direct care excess payment allowance limit is 8% of the patient-day-weighted median</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See 441—subrules </w:t>
            </w:r>
            <w:hyperlink r:id="rId70">
              <w:r>
                <w:rPr>
                  <w:rStyle w:val="Hyperlink"/>
                  <w:rFonts w:ascii="Times New Roman" w:hAnsi="Times New Roman"/>
                  <w:b w:val="false"/>
                  <w:i w:val="false"/>
                  <w:color w:val="000000"/>
                  <w:sz w:val="16"/>
                </w:rPr>
                <w:t>81.5(4)</w:t>
              </w:r>
            </w:hyperlink>
            <w:r>
              <w:rPr>
                <w:rFonts w:ascii="Times New Roman" w:hAnsi="Times New Roman"/>
                <w:b w:val="false"/>
                <w:i w:val="false"/>
                <w:color w:val="000000"/>
                <w:sz w:val="16"/>
              </w:rPr>
              <w:t xml:space="preserve"> and </w:t>
            </w:r>
            <w:hyperlink r:id="rId71">
              <w:r>
                <w:rPr>
                  <w:rStyle w:val="Hyperlink"/>
                  <w:rFonts w:ascii="Times New Roman" w:hAnsi="Times New Roman"/>
                  <w:b w:val="false"/>
                  <w:i w:val="false"/>
                  <w:color w:val="000000"/>
                  <w:sz w:val="16"/>
                </w:rPr>
                <w:t>81.5(14)</w:t>
              </w:r>
            </w:hyperlink>
            <w:r>
              <w:rPr>
                <w:rFonts w:ascii="Times New Roman" w:hAnsi="Times New Roman"/>
                <w:b w:val="false"/>
                <w:i w:val="false"/>
                <w:color w:val="000000"/>
                <w:sz w:val="16"/>
              </w:rPr>
              <w:t xml:space="preserve"> and paragraph </w:t>
            </w:r>
            <w:hyperlink r:id="rId72">
              <w:r>
                <w:rPr>
                  <w:rStyle w:val="Hyperlink"/>
                  <w:rFonts w:ascii="Times New Roman" w:hAnsi="Times New Roman"/>
                  <w:b w:val="false"/>
                  <w:i w:val="false"/>
                  <w:color w:val="000000"/>
                  <w:sz w:val="16"/>
                </w:rPr>
                <w:t>81.5(16)</w:t>
              </w:r>
              <w:r>
                <w:rPr>
                  <w:rFonts w:ascii="Times New Roman" w:hAnsi="Times New Roman"/>
                  <w:b w:val="false"/>
                  <w:i/>
                  <w:color w:val="000000"/>
                  <w:sz w:val="16"/>
                </w:rPr>
                <w:t>“f.”</w:t>
              </w:r>
            </w:hyperlink>
            <w:r>
              <w:rPr>
                <w:rFonts w:ascii="Times New Roman" w:hAnsi="Times New Roman"/>
                <w:b w:val="false"/>
                <w:i w:val="false"/>
                <w:color w:val="000000"/>
                <w:sz w:val="16"/>
              </w:rPr>
              <w:t xml:space="preserve"> The direct care rate component limit under 441—subparagraph </w:t>
            </w:r>
            <w:hyperlink r:id="rId73">
              <w:r>
                <w:rPr>
                  <w:rStyle w:val="Hyperlink"/>
                  <w:rFonts w:ascii="Times New Roman" w:hAnsi="Times New Roman"/>
                  <w:b w:val="false"/>
                  <w:i w:val="false"/>
                  <w:color w:val="000000"/>
                  <w:sz w:val="16"/>
                </w:rPr>
                <w:t>81.5(16)</w:t>
              </w:r>
              <w:r>
                <w:rPr>
                  <w:rFonts w:ascii="Times New Roman" w:hAnsi="Times New Roman"/>
                  <w:b w:val="false"/>
                  <w:i/>
                  <w:color w:val="000000"/>
                  <w:sz w:val="16"/>
                </w:rPr>
                <w:t>“f”</w:t>
              </w:r>
              <w:r>
                <w:rPr>
                  <w:rFonts w:ascii="Times New Roman" w:hAnsi="Times New Roman"/>
                  <w:b w:val="false"/>
                  <w:i w:val="false"/>
                  <w:color w:val="000000"/>
                  <w:sz w:val="16"/>
                </w:rPr>
                <w:t>(3)</w:t>
              </w:r>
            </w:hyperlink>
            <w:r>
              <w:rPr>
                <w:rFonts w:ascii="Times New Roman" w:hAnsi="Times New Roman"/>
                <w:b w:val="false"/>
                <w:i w:val="false"/>
                <w:color w:val="000000"/>
                <w:sz w:val="16"/>
              </w:rPr>
              <w:t xml:space="preserve"> is 120% of the patient-day-weighted median. The non-direct care rate component limit under 441—subparagraph </w:t>
            </w:r>
            <w:hyperlink r:id="rId74">
              <w:r>
                <w:rPr>
                  <w:rStyle w:val="Hyperlink"/>
                  <w:rFonts w:ascii="Times New Roman" w:hAnsi="Times New Roman"/>
                  <w:b w:val="false"/>
                  <w:i w:val="false"/>
                  <w:color w:val="000000"/>
                  <w:sz w:val="16"/>
                </w:rPr>
                <w:t>81.5(16)</w:t>
              </w:r>
              <w:r>
                <w:rPr>
                  <w:rFonts w:ascii="Times New Roman" w:hAnsi="Times New Roman"/>
                  <w:b w:val="false"/>
                  <w:i/>
                  <w:color w:val="000000"/>
                  <w:sz w:val="16"/>
                </w:rPr>
                <w:t>“f”</w:t>
              </w:r>
              <w:r>
                <w:rPr>
                  <w:rFonts w:ascii="Times New Roman" w:hAnsi="Times New Roman"/>
                  <w:b w:val="false"/>
                  <w:i w:val="false"/>
                  <w:color w:val="000000"/>
                  <w:sz w:val="16"/>
                </w:rPr>
                <w:t>(3)</w:t>
              </w:r>
            </w:hyperlink>
            <w:r>
              <w:rPr>
                <w:rFonts w:ascii="Times New Roman" w:hAnsi="Times New Roman"/>
                <w:b w:val="false"/>
                <w:i w:val="false"/>
                <w:color w:val="000000"/>
                <w:sz w:val="16"/>
              </w:rPr>
              <w:t xml:space="preserve"> is 110% of the patient-day-weighted median</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Occupational therapists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members residing in a nursing facility, see </w:t>
            </w:r>
            <w:hyperlink r:id="rId75">
              <w:r>
                <w:rPr>
                  <w:rStyle w:val="Hyperlink"/>
                  <w:rFonts w:ascii="Times New Roman" w:hAnsi="Times New Roman"/>
                  <w:b w:val="false"/>
                  <w:i w:val="false"/>
                  <w:color w:val="000000"/>
                  <w:sz w:val="16"/>
                </w:rPr>
                <w:t>441—paragraph 81.5(11)</w:t>
              </w:r>
              <w:r>
                <w:rPr>
                  <w:rFonts w:ascii="Times New Roman" w:hAnsi="Times New Roman"/>
                  <w:b w:val="false"/>
                  <w:i/>
                  <w:color w:val="000000"/>
                  <w:sz w:val="16"/>
                </w:rPr>
                <w:t>“q”</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Opticians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Fixed fee for </w:t>
            </w:r>
            <w:r>
              <w:br/>
            </w:r>
            <w:r>
              <w:rPr>
                <w:rFonts w:ascii="Times New Roman" w:hAnsi="Times New Roman"/>
                <w:b w:val="false"/>
                <w:i w:val="false"/>
                <w:color w:val="000000"/>
                <w:sz w:val="16"/>
              </w:rPr>
              <w:t>lenses and frames; other optical materials at product acquisition cost</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Optometrists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Fixed fee for lenses and frames; other optical materials at product acquisition cost</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Orthopedic shoe dealers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Pharmaceutical case</w:t>
            </w:r>
          </w:p>
          <w:p>
            <w:pPr>
              <w:spacing w:before="0" w:after="0"/>
              <w:ind w:left="304"/>
              <w:jc w:val="left"/>
            </w:pPr>
            <w:r>
              <w:rPr>
                <w:rFonts w:ascii="Times New Roman" w:hAnsi="Times New Roman"/>
                <w:b w:val="false"/>
                <w:i w:val="false"/>
                <w:color w:val="000000"/>
                <w:sz w:val="16"/>
              </w:rPr>
              <w:t>management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76">
              <w:r>
                <w:rPr>
                  <w:rStyle w:val="Hyperlink"/>
                  <w:rFonts w:ascii="Times New Roman" w:hAnsi="Times New Roman"/>
                  <w:b w:val="false"/>
                  <w:i w:val="false"/>
                  <w:color w:val="000000"/>
                  <w:sz w:val="16"/>
                </w:rPr>
                <w:t>79.1(18)</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Refer to </w:t>
            </w:r>
            <w:hyperlink r:id="rId77">
              <w:r>
                <w:rPr>
                  <w:rStyle w:val="Hyperlink"/>
                  <w:rFonts w:ascii="Times New Roman" w:hAnsi="Times New Roman"/>
                  <w:b w:val="false"/>
                  <w:i w:val="false"/>
                  <w:color w:val="000000"/>
                  <w:sz w:val="16"/>
                </w:rPr>
                <w:t>79.1(18)</w:t>
              </w:r>
            </w:hyperlink>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Pharmacist vaccine administration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fee schedule for immunization administration</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Physical therapists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members residing in a nursing facility, see </w:t>
            </w:r>
            <w:hyperlink r:id="rId78">
              <w:r>
                <w:rPr>
                  <w:rStyle w:val="Hyperlink"/>
                  <w:rFonts w:ascii="Times New Roman" w:hAnsi="Times New Roman"/>
                  <w:b w:val="false"/>
                  <w:i w:val="false"/>
                  <w:color w:val="000000"/>
                  <w:sz w:val="16"/>
                </w:rPr>
                <w:t>441—paragraph 81.5(11)</w:t>
              </w:r>
              <w:r>
                <w:rPr>
                  <w:rFonts w:ascii="Times New Roman" w:hAnsi="Times New Roman"/>
                  <w:b w:val="false"/>
                  <w:i/>
                  <w:color w:val="000000"/>
                  <w:sz w:val="16"/>
                </w:rPr>
                <w:t>“q”</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Physicians (doctors of medicine</w:t>
            </w:r>
          </w:p>
          <w:p>
            <w:pPr>
              <w:spacing w:before="0" w:after="0"/>
              <w:ind w:left="304"/>
              <w:jc w:val="left"/>
            </w:pPr>
            <w:r>
              <w:rPr>
                <w:rFonts w:ascii="Times New Roman" w:hAnsi="Times New Roman"/>
                <w:b w:val="false"/>
                <w:i w:val="false"/>
                <w:color w:val="000000"/>
                <w:sz w:val="16"/>
              </w:rPr>
              <w:t>or osteopathy)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79">
              <w:r>
                <w:rPr>
                  <w:rStyle w:val="Hyperlink"/>
                  <w:rFonts w:ascii="Times New Roman" w:hAnsi="Times New Roman"/>
                  <w:b w:val="false"/>
                  <w:i w:val="false"/>
                  <w:color w:val="000000"/>
                  <w:sz w:val="16"/>
                </w:rPr>
                <w:t>79.1(7)</w:t>
              </w:r>
              <w:r>
                <w:rPr>
                  <w:rFonts w:ascii="Times New Roman" w:hAnsi="Times New Roman"/>
                  <w:b w:val="false"/>
                  <w:i/>
                  <w:color w:val="000000"/>
                  <w:sz w:val="16"/>
                </w:rPr>
                <w:t>“a”</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Anesthesia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80">
              <w:r>
                <w:rPr>
                  <w:rStyle w:val="Hyperlink"/>
                  <w:rFonts w:ascii="Times New Roman" w:hAnsi="Times New Roman"/>
                  <w:b w:val="false"/>
                  <w:i w:val="false"/>
                  <w:color w:val="000000"/>
                  <w:sz w:val="16"/>
                </w:rPr>
                <w:t>79.1(7)</w:t>
              </w:r>
              <w:r>
                <w:rPr>
                  <w:rFonts w:ascii="Times New Roman" w:hAnsi="Times New Roman"/>
                  <w:b w:val="false"/>
                  <w:i/>
                  <w:color w:val="000000"/>
                  <w:sz w:val="16"/>
                </w:rPr>
                <w:t>“d”</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in effect 7/1/17. </w:t>
            </w:r>
            <w:r>
              <w:br/>
            </w:r>
            <w:r>
              <w:rPr>
                <w:rFonts w:ascii="Times New Roman" w:hAnsi="Times New Roman"/>
                <w:b w:val="false"/>
                <w:i w:val="false"/>
                <w:color w:val="000000"/>
                <w:sz w:val="16"/>
              </w:rPr>
              <w:t xml:space="preserve">See </w:t>
            </w:r>
            <w:hyperlink r:id="rId81">
              <w:r>
                <w:rPr>
                  <w:rStyle w:val="Hyperlink"/>
                  <w:rFonts w:ascii="Times New Roman" w:hAnsi="Times New Roman"/>
                  <w:b w:val="false"/>
                  <w:i w:val="false"/>
                  <w:color w:val="000000"/>
                  <w:sz w:val="16"/>
                </w:rPr>
                <w:t>79.1(7)</w:t>
              </w:r>
              <w:r>
                <w:rPr>
                  <w:rFonts w:ascii="Times New Roman" w:hAnsi="Times New Roman"/>
                  <w:b w:val="false"/>
                  <w:i/>
                  <w:color w:val="000000"/>
                  <w:sz w:val="16"/>
                </w:rPr>
                <w:t>“d”</w:t>
              </w:r>
            </w:hyperlink>
          </w:p>
        </w:tc>
      </w:tr>
      <w:tr>
        <w:trPr>
          <w:trHeight w:val="21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Physician-administered drugs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Qualified primary care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See </w:t>
            </w:r>
            <w:hyperlink r:id="rId82">
              <w:r>
                <w:rPr>
                  <w:rStyle w:val="Hyperlink"/>
                  <w:rFonts w:ascii="Times New Roman" w:hAnsi="Times New Roman"/>
                  <w:b w:val="false"/>
                  <w:i w:val="false"/>
                  <w:color w:val="000000"/>
                  <w:sz w:val="16"/>
                </w:rPr>
                <w:t>79.1(7)</w:t>
              </w:r>
              <w:r>
                <w:rPr>
                  <w:rFonts w:ascii="Times New Roman" w:hAnsi="Times New Roman"/>
                  <w:b w:val="false"/>
                  <w:i/>
                  <w:color w:val="000000"/>
                  <w:sz w:val="16"/>
                </w:rPr>
                <w:t>“c”</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Rate provided by </w:t>
            </w:r>
            <w:hyperlink r:id="rId83">
              <w:r>
                <w:rPr>
                  <w:rStyle w:val="Hyperlink"/>
                  <w:rFonts w:ascii="Times New Roman" w:hAnsi="Times New Roman"/>
                  <w:b w:val="false"/>
                  <w:i w:val="false"/>
                  <w:color w:val="000000"/>
                  <w:sz w:val="16"/>
                </w:rPr>
                <w:t>79.1(7)</w:t>
              </w:r>
              <w:r>
                <w:rPr>
                  <w:rFonts w:ascii="Times New Roman" w:hAnsi="Times New Roman"/>
                  <w:b w:val="false"/>
                  <w:i/>
                  <w:color w:val="000000"/>
                  <w:sz w:val="16"/>
                </w:rPr>
                <w:t>“c”</w:t>
              </w:r>
            </w:hyperlink>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Podiatrists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Prescribed drugs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See </w:t>
            </w:r>
            <w:hyperlink r:id="rId84">
              <w:r>
                <w:rPr>
                  <w:rStyle w:val="Hyperlink"/>
                  <w:rFonts w:ascii="Times New Roman" w:hAnsi="Times New Roman"/>
                  <w:b w:val="false"/>
                  <w:i w:val="false"/>
                  <w:color w:val="000000"/>
                  <w:sz w:val="16"/>
                </w:rPr>
                <w:t>79.1(8)</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Amount pursuant to </w:t>
            </w:r>
            <w:hyperlink r:id="rId85">
              <w:r>
                <w:rPr>
                  <w:rStyle w:val="Hyperlink"/>
                  <w:rFonts w:ascii="Times New Roman" w:hAnsi="Times New Roman"/>
                  <w:b w:val="false"/>
                  <w:i w:val="false"/>
                  <w:color w:val="000000"/>
                  <w:sz w:val="16"/>
                </w:rPr>
                <w:t>79.1(8)</w:t>
              </w:r>
            </w:hyperlink>
          </w:p>
        </w:tc>
      </w:tr>
      <w:tr>
        <w:trPr>
          <w:trHeight w:val="81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Psychiatric medical institutions</w:t>
            </w:r>
          </w:p>
          <w:p>
            <w:pPr>
              <w:spacing w:before="0" w:after="0"/>
              <w:ind w:left="304"/>
              <w:jc w:val="left"/>
            </w:pPr>
            <w:r>
              <w:rPr>
                <w:rFonts w:ascii="Times New Roman" w:hAnsi="Times New Roman"/>
                <w:b w:val="false"/>
                <w:i w:val="false"/>
                <w:color w:val="000000"/>
                <w:sz w:val="16"/>
              </w:rPr>
              <w:t>for children:</w:t>
            </w:r>
          </w:p>
          <w:p>
            <w:pPr>
              <w:spacing w:before="0" w:after="0"/>
              <w:ind w:left="160"/>
              <w:jc w:val="left"/>
            </w:pPr>
            <w:r>
              <w:rPr>
                <w:rFonts w:ascii="Times New Roman" w:hAnsi="Times New Roman"/>
                <w:b w:val="false"/>
                <w:i w:val="false"/>
                <w:color w:val="000000"/>
                <w:sz w:val="16"/>
              </w:rPr>
              <w:t>1. Inpatient in non-state-owned facilities</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Effective 7/1/21: Non-state-owned facilities provider-specific fee schedule in effect</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Inpatient in state-owned facilities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Retrospective cost-related</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8/1/11: 100% of actual and allowable cost</w:t>
            </w:r>
          </w:p>
        </w:tc>
      </w:tr>
      <w:tr>
        <w:trPr>
          <w:trHeight w:val="21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Outpatient day treatment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Psychiatric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1/1/16</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Psychologists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Public health agencies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rate in effect 6/30/13 plus 1%</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Rehabilitation agencies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members residing in a nursing facility, see </w:t>
            </w:r>
            <w:hyperlink r:id="rId86">
              <w:r>
                <w:rPr>
                  <w:rStyle w:val="Hyperlink"/>
                  <w:rFonts w:ascii="Times New Roman" w:hAnsi="Times New Roman"/>
                  <w:b w:val="false"/>
                  <w:i w:val="false"/>
                  <w:color w:val="000000"/>
                  <w:sz w:val="16"/>
                </w:rPr>
                <w:t>441—paragraph 81.5(11)</w:t>
              </w:r>
              <w:r>
                <w:rPr>
                  <w:rFonts w:ascii="Times New Roman" w:hAnsi="Times New Roman"/>
                  <w:b w:val="false"/>
                  <w:i/>
                  <w:color w:val="000000"/>
                  <w:sz w:val="16"/>
                </w:rPr>
                <w:t>“q”</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Medicaid fee schedule in effect 6/30/13 plus 1%; refer to </w:t>
            </w:r>
            <w:hyperlink r:id="rId87">
              <w:r>
                <w:rPr>
                  <w:rStyle w:val="Hyperlink"/>
                  <w:rFonts w:ascii="Times New Roman" w:hAnsi="Times New Roman"/>
                  <w:b w:val="false"/>
                  <w:i w:val="false"/>
                  <w:color w:val="000000"/>
                  <w:sz w:val="16"/>
                </w:rPr>
                <w:t>79.1(21)</w:t>
              </w:r>
            </w:hyperlink>
          </w:p>
        </w:tc>
      </w:tr>
      <w:tr>
        <w:trPr>
          <w:trHeight w:val="2715"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Rural health clinics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Retrospective cost-related. </w:t>
            </w:r>
            <w:r>
              <w:br/>
            </w:r>
            <w:r>
              <w:rPr>
                <w:rFonts w:ascii="Times New Roman" w:hAnsi="Times New Roman"/>
                <w:b w:val="false"/>
                <w:i w:val="false"/>
                <w:color w:val="000000"/>
                <w:sz w:val="16"/>
              </w:rPr>
              <w:t xml:space="preserve">See </w:t>
            </w:r>
            <w:hyperlink r:id="rId88">
              <w:r>
                <w:rPr>
                  <w:rStyle w:val="Hyperlink"/>
                  <w:rFonts w:ascii="Times New Roman" w:hAnsi="Times New Roman"/>
                  <w:b w:val="false"/>
                  <w:i w:val="false"/>
                  <w:color w:val="000000"/>
                  <w:sz w:val="16"/>
                </w:rPr>
                <w:t>441—Chapter 73</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Prospective payment rate as required by the Medicare, Medicaid, and SCHIP Benefits Improvement and Protection Act of 2000 (BIPA 2000) as amended to July 1, 2026, or an alternative methodology allowed thereunder, as specified in “2” below</w:t>
            </w:r>
            <w:r>
              <w:br/>
            </w:r>
            <w:r>
              <w:rPr>
                <w:rFonts w:ascii="Times New Roman" w:hAnsi="Times New Roman"/>
                <w:b w:val="false"/>
                <w:i w:val="false"/>
                <w:color w:val="000000"/>
                <w:sz w:val="16"/>
              </w:rPr>
              <w:t>2. 100% of reasonable cost as determined by Medicare cost reimbursement principles</w:t>
            </w:r>
            <w:r>
              <w:br/>
            </w:r>
            <w:r>
              <w:rPr>
                <w:rFonts w:ascii="Times New Roman" w:hAnsi="Times New Roman"/>
                <w:b w:val="false"/>
                <w:i w:val="false"/>
                <w:color w:val="000000"/>
                <w:sz w:val="16"/>
              </w:rPr>
              <w:t>3. In the case of services provided pursuant to a contract between an RHC and an MCO, reimbursement from the MCO will be supplemented to achieve “1” or “2” above</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Screening centers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Speech-language pathologists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Subacute mental health facility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2/1/18</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Targeted case management</w:t>
            </w:r>
          </w:p>
          <w:p>
            <w:pPr>
              <w:spacing w:before="0" w:after="0"/>
              <w:ind w:left="304"/>
              <w:jc w:val="left"/>
            </w:pPr>
            <w:r>
              <w:rPr>
                <w:rFonts w:ascii="Times New Roman" w:hAnsi="Times New Roman"/>
                <w:b w:val="false"/>
                <w:i w:val="false"/>
                <w:color w:val="000000"/>
                <w:sz w:val="16"/>
              </w:rPr>
              <w:t>providers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7/1/18</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w:t>
      </w:r>
      <w:r>
        <w:rPr>
          <w:rFonts w:ascii="Times New Roman" w:hAnsi="Times New Roman"/>
          <w:b w:val="false"/>
          <w:i w:val="false"/>
          <w:color w:val="000000"/>
          <w:sz w:val="22"/>
        </w:rPr>
        <w:t> </w:t>
      </w:r>
      <w:r>
        <w:rPr>
          <w:rFonts w:ascii="Times New Roman" w:hAnsi="Times New Roman"/>
          <w:b w:val="false"/>
          <w:i/>
          <w:color w:val="000000"/>
          <w:sz w:val="22"/>
        </w:rPr>
        <w:t xml:space="preserve">Ambulatory surgical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is made for facility services on a fee schedule determined by the department and published on the department’s website. These fees are grouped into nine categories corresponding to the difficulty or complexity of the surgical procedure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of the physician or the dentist are reimbursed on the basis of a fee schedule (see paragraph </w:t>
      </w:r>
      <w:hyperlink r:id="rId89">
        <w:r>
          <w:rPr>
            <w:rStyle w:val="Hyperlink"/>
            <w:rFonts w:ascii="Times New Roman" w:hAnsi="Times New Roman"/>
            <w:b w:val="false"/>
            <w:i w:val="false"/>
            <w:color w:val="000000"/>
            <w:sz w:val="22"/>
          </w:rPr>
          <w:t>79.1(1)</w:t>
        </w:r>
        <w:r>
          <w:rPr>
            <w:rFonts w:ascii="Times New Roman" w:hAnsi="Times New Roman"/>
            <w:b w:val="false"/>
            <w:i/>
            <w:color w:val="000000"/>
            <w:sz w:val="22"/>
          </w:rPr>
          <w:t>“c”</w:t>
        </w:r>
      </w:hyperlink>
      <w:r>
        <w:rPr>
          <w:rFonts w:ascii="Times New Roman" w:hAnsi="Times New Roman"/>
          <w:b w:val="false"/>
          <w:i w:val="false"/>
          <w:color w:val="000000"/>
          <w:sz w:val="22"/>
        </w:rPr>
        <w:t>). This payment is made directly to the physician or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prosthetic devices, medical supply dealers. </w:t>
      </w:r>
      <w:r>
        <w:rPr>
          <w:rFonts w:ascii="Times New Roman" w:hAnsi="Times New Roman"/>
          <w:b w:val="false"/>
          <w:i w:val="false"/>
          <w:color w:val="000000"/>
          <w:sz w:val="22"/>
        </w:rPr>
        <w:t xml:space="preserve">Fees for durable medical appliances, prosthetic devices and medical supplies are developed from several pricing sources and are based on pricing appropriate to the date of service; prices are developed using prior calendar year price information. The average wholesale price from all available sources is averaged to determine the fee for each item. Payment for used equipment will be no more than 80 percent of the purchase allowance. For supplies, equipment, and servicing of standard wheelchairs, standard hospital beds, enteral nutrients, and enteral and parenteral supplies and equipment, the fee for payment will be the lowest price for which the devices are widely and consistently available in a locality. Reimbursement over an established Medicaid fee schedule amount may be allowed pursuant to the criteria at </w:t>
      </w:r>
      <w:hyperlink r:id="rId90">
        <w:r>
          <w:rPr>
            <w:rStyle w:val="Hyperlink"/>
            <w:rFonts w:ascii="Times New Roman" w:hAnsi="Times New Roman"/>
            <w:b w:val="false"/>
            <w:i w:val="false"/>
            <w:color w:val="000000"/>
            <w:sz w:val="22"/>
          </w:rPr>
          <w:t>441—paragraph 78.10(5)</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hospitals.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“Adolescent”</w:t>
      </w:r>
      <w:r>
        <w:rPr>
          <w:rFonts w:ascii="Times New Roman" w:hAnsi="Times New Roman"/>
          <w:b w:val="false"/>
          <w:i w:val="false"/>
          <w:color w:val="000000"/>
          <w:sz w:val="22"/>
        </w:rPr>
        <w:t> </w:t>
      </w:r>
      <w:r>
        <w:rPr>
          <w:rFonts w:ascii="Times New Roman" w:hAnsi="Times New Roman"/>
          <w:b w:val="false"/>
          <w:i w:val="false"/>
          <w:color w:val="000000"/>
          <w:sz w:val="22"/>
        </w:rPr>
        <w:t>means a Medicaid patient 17 years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Medicaid patient 18 years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“Average daily rate”</w:t>
      </w:r>
      <w:r>
        <w:rPr>
          <w:rFonts w:ascii="Times New Roman" w:hAnsi="Times New Roman"/>
          <w:b w:val="false"/>
          <w:i w:val="false"/>
          <w:color w:val="000000"/>
          <w:sz w:val="22"/>
        </w:rPr>
        <w:t> </w:t>
      </w:r>
      <w:r>
        <w:rPr>
          <w:rFonts w:ascii="Times New Roman" w:hAnsi="Times New Roman"/>
          <w:b w:val="false"/>
          <w:i w:val="false"/>
          <w:color w:val="000000"/>
          <w:sz w:val="22"/>
        </w:rPr>
        <w:t>means the hospital’s final payment rate multiplied by the DRG weight and divided by the statewide average length of stay for a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 year cost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hospital’s cost report with fiscal year end on or after January 1, 2019, and before January 1, 2020, except as noted in paragraph </w:t>
      </w:r>
      <w:hyperlink r:id="rId91">
        <w:r>
          <w:rPr>
            <w:rStyle w:val="Hyperlink"/>
            <w:rFonts w:ascii="Times New Roman" w:hAnsi="Times New Roman"/>
            <w:b w:val="false"/>
            <w:i w:val="false"/>
            <w:color w:val="000000"/>
            <w:sz w:val="22"/>
          </w:rPr>
          <w:t>79.1(5)</w:t>
        </w:r>
        <w:r>
          <w:rPr>
            <w:rFonts w:ascii="Times New Roman" w:hAnsi="Times New Roman"/>
            <w:b w:val="false"/>
            <w:i/>
            <w:color w:val="000000"/>
            <w:sz w:val="22"/>
          </w:rPr>
          <w:t>“x.”</w:t>
        </w:r>
      </w:hyperlink>
      <w:r>
        <w:rPr>
          <w:rFonts w:ascii="Times New Roman" w:hAnsi="Times New Roman"/>
          <w:b w:val="false"/>
          <w:i w:val="false"/>
          <w:color w:val="000000"/>
          <w:sz w:val="22"/>
        </w:rPr>
        <w:t xml:space="preserve"> Cost reports will be reviewed using Medicare’s cost reporting and cost reimbursement principles for those cost reporting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“Blended base amount”</w:t>
      </w:r>
      <w:r>
        <w:rPr>
          <w:rFonts w:ascii="Times New Roman" w:hAnsi="Times New Roman"/>
          <w:b w:val="false"/>
          <w:i w:val="false"/>
          <w:color w:val="000000"/>
          <w:sz w:val="22"/>
        </w:rPr>
        <w:t> </w:t>
      </w:r>
      <w:r>
        <w:rPr>
          <w:rFonts w:ascii="Times New Roman" w:hAnsi="Times New Roman"/>
          <w:b w:val="false"/>
          <w:i w:val="false"/>
          <w:color w:val="000000"/>
          <w:sz w:val="22"/>
        </w:rPr>
        <w:t>means the case-mix-adjusted, hospital-specific operating cost per discharge associated with treating Medicaid patients, plus the statewide average case-mix-adjusted operating cost per Medicaid discharge, divided by two. This base amount is the value to which payments for capital costs are added to form a final payment rate. The costs of hospitals receiving reimbursement as critical access hospitals during any of the period included in the base year cost report will not be used in determining the statewide average case-mix-adjusted operating cost per Medicaid discharge.</w:t>
      </w:r>
    </w:p>
    <w:p>
      <w:pPr>
        <w:spacing w:before="0" w:after="0"/>
        <w:ind w:left="120"/>
        <w:jc w:val="both"/>
      </w:pPr>
      <w:r>
        <w:rPr>
          <w:rFonts w:ascii="Times New Roman" w:hAnsi="Times New Roman"/>
          <w:b w:val="false"/>
          <w:i w:val="false"/>
          <w:color w:val="000000"/>
          <w:sz w:val="22"/>
        </w:rPr>
        <w:t>For purposes of calculating the disproportionate share rate only, a separate blended base amount will be determined for any hospital that qualifies for a disproportionate share payment only as a children’s hospital based on a distinct area or areas serving children. This separate amount will be determined using only the case-mix-adjusted operating cost per discharge associated with treating Medicaid patients in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“Blended capital costs”</w:t>
      </w:r>
      <w:r>
        <w:rPr>
          <w:rFonts w:ascii="Times New Roman" w:hAnsi="Times New Roman"/>
          <w:b w:val="false"/>
          <w:i w:val="false"/>
          <w:color w:val="000000"/>
          <w:sz w:val="22"/>
        </w:rPr>
        <w:t> </w:t>
      </w:r>
      <w:r>
        <w:rPr>
          <w:rFonts w:ascii="Times New Roman" w:hAnsi="Times New Roman"/>
          <w:b w:val="false"/>
          <w:i w:val="false"/>
          <w:color w:val="000000"/>
          <w:sz w:val="22"/>
        </w:rPr>
        <w:t>means case-mix-adjusted hospital-specific capital costs, plus statewide average capital costs, divided by two. The costs of hospitals receiving reimbursement as critical access hospitals during any of the period of time included in the base year cost report will not be used in determining the statewide average capital costs.</w:t>
      </w:r>
    </w:p>
    <w:p>
      <w:pPr>
        <w:spacing w:before="0" w:after="0"/>
        <w:ind w:left="120"/>
        <w:jc w:val="both"/>
      </w:pPr>
      <w:r>
        <w:rPr>
          <w:rFonts w:ascii="Times New Roman" w:hAnsi="Times New Roman"/>
          <w:b w:val="false"/>
          <w:i w:val="false"/>
          <w:color w:val="000000"/>
          <w:sz w:val="22"/>
        </w:rPr>
        <w:t>For purposes of calculating the disproportionate share rate only, separate blended capital costs will be determined for any hospital that qualifies for a disproportionate share payment only as a children’s hospital based on a distinct area or areas serving children, using only the capital costs related to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“Capital costs”</w:t>
      </w:r>
      <w:r>
        <w:rPr>
          <w:rFonts w:ascii="Times New Roman" w:hAnsi="Times New Roman"/>
          <w:b w:val="false"/>
          <w:i w:val="false"/>
          <w:color w:val="000000"/>
          <w:sz w:val="22"/>
        </w:rPr>
        <w:t> </w:t>
      </w:r>
      <w:r>
        <w:rPr>
          <w:rFonts w:ascii="Times New Roman" w:hAnsi="Times New Roman"/>
          <w:b w:val="false"/>
          <w:i w:val="false"/>
          <w:color w:val="000000"/>
          <w:sz w:val="22"/>
        </w:rPr>
        <w:t>means an add-on to the blended base amount, which will compensate for Medicaid’s portion of capital costs. Capital costs for buildings, fixtures and movable equipment are defined in the hospital’s base year cost report, are case-mix adjusted, are adjusted to reflect 80 percent of allowable costs, and are adjusted to be no greater than one standard deviation off the mean Medicaid blended capital rate.</w:t>
      </w:r>
    </w:p>
    <w:p>
      <w:pPr>
        <w:spacing w:before="0" w:after="0"/>
        <w:ind w:left="120"/>
        <w:jc w:val="both"/>
      </w:pPr>
      <w:r>
        <w:rPr>
          <w:rFonts w:ascii="Times New Roman" w:hAnsi="Times New Roman"/>
          <w:b w:val="false"/>
          <w:i w:val="false"/>
          <w:color w:val="000000"/>
          <w:sz w:val="22"/>
        </w:rPr>
        <w:t>For purposes of calculating the disproportionate share rate only, separate capital costs shall be determined for any hospital that qualifies for a disproportionate share payment only as a children’s hospital based on a distinct area or areas serving children, using only the base year cost report information related to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“Case-mix adjusted”</w:t>
      </w:r>
      <w:r>
        <w:rPr>
          <w:rFonts w:ascii="Times New Roman" w:hAnsi="Times New Roman"/>
          <w:b w:val="false"/>
          <w:i w:val="false"/>
          <w:color w:val="000000"/>
          <w:sz w:val="22"/>
        </w:rPr>
        <w:t> </w:t>
      </w:r>
      <w:r>
        <w:rPr>
          <w:rFonts w:ascii="Times New Roman" w:hAnsi="Times New Roman"/>
          <w:b w:val="false"/>
          <w:i w:val="false"/>
          <w:color w:val="000000"/>
          <w:sz w:val="22"/>
        </w:rPr>
        <w:t>means the division of the hospital-specific base amount or other applicable components of the final payment rate by the hospital-specific case-mix index. For purposes of calculating the disproportionate share rate only, a separate case-mix adjustment shall be determined for any hospital that qualifies for a disproportionate share payment only as a children’s hospital based on a distinct area or areas serving children, using the base amount or other applicable component for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“Case-mix index”</w:t>
      </w:r>
      <w:r>
        <w:rPr>
          <w:rFonts w:ascii="Times New Roman" w:hAnsi="Times New Roman"/>
          <w:b w:val="false"/>
          <w:i w:val="false"/>
          <w:color w:val="000000"/>
          <w:sz w:val="22"/>
        </w:rPr>
        <w:t> </w:t>
      </w:r>
      <w:r>
        <w:rPr>
          <w:rFonts w:ascii="Times New Roman" w:hAnsi="Times New Roman"/>
          <w:b w:val="false"/>
          <w:i w:val="false"/>
          <w:color w:val="000000"/>
          <w:sz w:val="22"/>
        </w:rPr>
        <w:t>means an arithmetical index measuring the relative average costliness of cases treated in a hospital compared to the statewide average. For purposes of calculating the disproportionate share rate only, a separate case-mix index will be determined for any hospital that qualifies for a disproportionate share payment only as a children’s hospital based on a distinct area or areas serving children, using the average costliness of cases treated in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“Children’s hospitals”</w:t>
      </w:r>
      <w:r>
        <w:rPr>
          <w:rFonts w:ascii="Times New Roman" w:hAnsi="Times New Roman"/>
          <w:b w:val="false"/>
          <w:i w:val="false"/>
          <w:color w:val="000000"/>
          <w:sz w:val="22"/>
        </w:rPr>
        <w:t> </w:t>
      </w:r>
      <w:r>
        <w:rPr>
          <w:rFonts w:ascii="Times New Roman" w:hAnsi="Times New Roman"/>
          <w:b w:val="false"/>
          <w:i w:val="false"/>
          <w:color w:val="000000"/>
          <w:sz w:val="22"/>
        </w:rPr>
        <w:t>means hospitals with inpatients predominantly under 18 years of age. For purposes of qualifying for disproportionate share payments from the graduate medical education and disproportionate share fund, a children’s hospital is defined as a duly licensed hospital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provides services predominantly to children under 18 years of age or includes a distinct area or areas that provide services predominantly to children under 18 years of age,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voting member of the National Association of Children’s Hospitals and Related Institutions for dates of service prior to October 1, 2014, or a member of the National Association of Children’s Hospitals and Related Institutions for dates of service on or after October 1,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outlier”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cases that have an extraordinarily high cost as established in paragraph </w:t>
      </w:r>
      <w:hyperlink r:id="rId92">
        <w:r>
          <w:rPr>
            <w:rStyle w:val="Hyperlink"/>
            <w:rFonts w:ascii="Times New Roman" w:hAnsi="Times New Roman"/>
            <w:b w:val="false"/>
            <w:i w:val="false"/>
            <w:color w:val="000000"/>
            <w:sz w:val="22"/>
          </w:rPr>
          <w:t>79.1(5)</w:t>
        </w:r>
        <w:r>
          <w:rPr>
            <w:rFonts w:ascii="Times New Roman" w:hAnsi="Times New Roman"/>
            <w:b w:val="false"/>
            <w:i/>
            <w:color w:val="000000"/>
            <w:sz w:val="22"/>
          </w:rPr>
          <w:t>“f,”</w:t>
        </w:r>
      </w:hyperlink>
      <w:r>
        <w:rPr>
          <w:rFonts w:ascii="Times New Roman" w:hAnsi="Times New Roman"/>
          <w:b w:val="false"/>
          <w:i w:val="false"/>
          <w:color w:val="000000"/>
          <w:sz w:val="22"/>
        </w:rPr>
        <w:t xml:space="preserve"> so as to be eligible for additional payments above and beyond the initial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access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hospital licensed as a critical access hospital by the department of inspections, appeals, and licensing pursuant to rule </w:t>
      </w:r>
      <w:hyperlink r:id="rId93">
        <w:r>
          <w:rPr>
            <w:rStyle w:val="Hyperlink"/>
            <w:rFonts w:ascii="Times New Roman" w:hAnsi="Times New Roman"/>
            <w:b w:val="false"/>
            <w:i w:val="false"/>
            <w:color w:val="000000"/>
            <w:sz w:val="22"/>
          </w:rPr>
          <w:t>481—51.27</w:t>
        </w:r>
      </w:hyperlink>
      <w:r>
        <w:rPr>
          <w:rFonts w:ascii="Times New Roman" w:hAnsi="Times New Roman"/>
          <w:b w:val="false"/>
          <w:i w:val="false"/>
          <w:color w:val="000000"/>
          <w:sz w:val="22"/>
        </w:rPr>
        <w:t>(135B).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“Diagnosis-related group”</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“DRG”</w:t>
      </w:r>
      <w:r>
        <w:rPr>
          <w:rFonts w:ascii="Times New Roman" w:hAnsi="Times New Roman"/>
          <w:b w:val="false"/>
          <w:i w:val="false"/>
          <w:color w:val="000000"/>
          <w:sz w:val="22"/>
        </w:rPr>
        <w:t> </w:t>
      </w:r>
      <w:r>
        <w:rPr>
          <w:rFonts w:ascii="Times New Roman" w:hAnsi="Times New Roman"/>
          <w:b w:val="false"/>
          <w:i w:val="false"/>
          <w:color w:val="000000"/>
          <w:sz w:val="22"/>
        </w:rPr>
        <w:t>means a group of similar diagnoses combined based on patient age, procedure coding, comorbidity, and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medical education costs”</w:t>
      </w:r>
      <w:r>
        <w:rPr>
          <w:rFonts w:ascii="Times New Roman" w:hAnsi="Times New Roman"/>
          <w:b w:val="false"/>
          <w:i w:val="false"/>
          <w:color w:val="000000"/>
          <w:sz w:val="22"/>
        </w:rPr>
        <w:t> </w:t>
      </w:r>
      <w:r>
        <w:rPr>
          <w:rFonts w:ascii="Times New Roman" w:hAnsi="Times New Roman"/>
          <w:b w:val="false"/>
          <w:i w:val="false"/>
          <w:color w:val="000000"/>
          <w:sz w:val="22"/>
        </w:rPr>
        <w:t>means costs directly associated with the medical education of interns and residents or other medical education programs, such as a nursing education program or allied health programs, conducted in an inpatient setting, that qualify for payment as medical education costs under the Medicare program. The amount of direct medical education costs is determined from the hospital base year cost reports multiplied by a factor to maintain expenditures within the amount appropriated to the department for this purpose and then case-mix adjusted in determining the direct medical education rate. Payment for direct medical education costs will be made from the graduate medical education and disproportionate share fund and will not be added to the reimbursement for claims.</w:t>
      </w:r>
    </w:p>
    <w:p>
      <w:pPr>
        <w:spacing w:before="0" w:after="0"/>
        <w:ind w:left="120"/>
        <w:jc w:val="both"/>
      </w:pPr>
      <w:r>
        <w:rPr>
          <w:rFonts w:ascii="Times New Roman" w:hAnsi="Times New Roman"/>
          <w:b w:val="false"/>
          <w:i w:val="false"/>
          <w:color w:val="000000"/>
          <w:sz w:val="22"/>
        </w:rPr>
        <w:t>For purposes of calculating the disproportionate share rate only, separate direct medical education costs will be determined for any hospital that qualifies for a disproportionate share payment only as a children’s hospital based on a distinct area or areas serving children, using only costs associated with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medical education rate”</w:t>
      </w:r>
      <w:r>
        <w:rPr>
          <w:rFonts w:ascii="Times New Roman" w:hAnsi="Times New Roman"/>
          <w:b w:val="false"/>
          <w:i w:val="false"/>
          <w:color w:val="000000"/>
          <w:sz w:val="22"/>
        </w:rPr>
        <w:t> </w:t>
      </w:r>
      <w:r>
        <w:rPr>
          <w:rFonts w:ascii="Times New Roman" w:hAnsi="Times New Roman"/>
          <w:b w:val="false"/>
          <w:i w:val="false"/>
          <w:color w:val="000000"/>
          <w:sz w:val="22"/>
        </w:rPr>
        <w:t>means a rate calculated for a hospital reporting medical education costs on the Medicare cost report (CMS 2552). The rate is calculated using the following formula: Direct medical education costs are multiplied by a factor to maintain expenditures within the amount appropriated to the department for this purpose. The result is divided by the hospital’s case-mix index, then is further divided by net discharges.</w:t>
      </w:r>
    </w:p>
    <w:p>
      <w:pPr>
        <w:spacing w:before="0" w:after="0"/>
        <w:ind w:left="120"/>
        <w:jc w:val="both"/>
      </w:pPr>
      <w:r>
        <w:rPr>
          <w:rFonts w:ascii="Times New Roman" w:hAnsi="Times New Roman"/>
          <w:b w:val="false"/>
          <w:i w:val="false"/>
          <w:color w:val="000000"/>
          <w:sz w:val="22"/>
        </w:rPr>
        <w:t>For purposes of calculating the disproportionate share rate only, a separate direct medical education rate will be determined for any hospital that qualifies for a disproportionate share payment only as a children’s hospital based on a distinct area or areas serving children, using the direct medical education costs, case-mix index, and net discharges of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“Disproportionate share payment”</w:t>
      </w:r>
      <w:r>
        <w:rPr>
          <w:rFonts w:ascii="Times New Roman" w:hAnsi="Times New Roman"/>
          <w:b w:val="false"/>
          <w:i w:val="false"/>
          <w:color w:val="000000"/>
          <w:sz w:val="22"/>
        </w:rPr>
        <w:t> </w:t>
      </w:r>
      <w:r>
        <w:rPr>
          <w:rFonts w:ascii="Times New Roman" w:hAnsi="Times New Roman"/>
          <w:b w:val="false"/>
          <w:i w:val="false"/>
          <w:color w:val="000000"/>
          <w:sz w:val="22"/>
        </w:rPr>
        <w:t>means a payment that will compensate for treatment of a disproportionate share of poor patients. The disproportionate share payment will be made directly from the graduate medical education and disproportionate share fund and will not be added to the reimbursement for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“Disproportionate share percentage”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either (1) the product of 2½ percent multiplied by the number of standard deviations by which the hospital’s own Medicaid inpatient utilization rate exceeds the statewide mean Medicaid inpatient utilization rate for all hospitals, or (2) 2½ percent. (See subparagraph </w:t>
      </w:r>
      <w:hyperlink r:id="rId94">
        <w:r>
          <w:rPr>
            <w:rStyle w:val="Hyperlink"/>
            <w:rFonts w:ascii="Times New Roman" w:hAnsi="Times New Roman"/>
            <w:b w:val="false"/>
            <w:i w:val="false"/>
            <w:color w:val="000000"/>
            <w:sz w:val="22"/>
          </w:rPr>
          <w:t>79.1(5)</w:t>
        </w:r>
        <w:r>
          <w:rPr>
            <w:rFonts w:ascii="Times New Roman" w:hAnsi="Times New Roman"/>
            <w:b w:val="false"/>
            <w:i/>
            <w:color w:val="000000"/>
            <w:sz w:val="22"/>
          </w:rPr>
          <w:t>“y”</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for more information.)</w:t>
      </w:r>
    </w:p>
    <w:p>
      <w:pPr>
        <w:spacing w:before="0" w:after="0"/>
        <w:ind w:left="120"/>
        <w:jc w:val="both"/>
      </w:pPr>
      <w:r>
        <w:rPr>
          <w:rFonts w:ascii="Times New Roman" w:hAnsi="Times New Roman"/>
          <w:b w:val="false"/>
          <w:i w:val="false"/>
          <w:color w:val="000000"/>
          <w:sz w:val="22"/>
        </w:rPr>
        <w:t>A separate disproportionate share percentage will be determined for any hospital that qualifies for a disproportionate share payment only as a children’s hospital, using the Medicaid inpatient utilization rate for children under 18 years of age at the time of admission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“Disproportionate share rate”</w:t>
      </w:r>
      <w:r>
        <w:rPr>
          <w:rFonts w:ascii="Times New Roman" w:hAnsi="Times New Roman"/>
          <w:b w:val="false"/>
          <w:i w:val="false"/>
          <w:color w:val="000000"/>
          <w:sz w:val="22"/>
        </w:rPr>
        <w:t> </w:t>
      </w:r>
      <w:r>
        <w:rPr>
          <w:rFonts w:ascii="Times New Roman" w:hAnsi="Times New Roman"/>
          <w:b w:val="false"/>
          <w:i w:val="false"/>
          <w:color w:val="000000"/>
          <w:sz w:val="22"/>
        </w:rPr>
        <w:t>means the sum of the blended base amount, blended capital costs, direct medical education rate, and indirect medical education rate multiplied by the disproportionate share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“DRG weight”</w:t>
      </w:r>
      <w:r>
        <w:rPr>
          <w:rFonts w:ascii="Times New Roman" w:hAnsi="Times New Roman"/>
          <w:b w:val="false"/>
          <w:i w:val="false"/>
          <w:color w:val="000000"/>
          <w:sz w:val="22"/>
        </w:rPr>
        <w:t> </w:t>
      </w:r>
      <w:r>
        <w:rPr>
          <w:rFonts w:ascii="Times New Roman" w:hAnsi="Times New Roman"/>
          <w:b w:val="false"/>
          <w:i w:val="false"/>
          <w:color w:val="000000"/>
          <w:sz w:val="22"/>
        </w:rPr>
        <w:t>means a number that reflects relative resource consumption as measured by the relative charges by hospitals for cases associated with each DRG. That is, the Iowa-specific DRG weight reflects the relative charge for treating cases classified in a particular DRG compared to the average charge for treating all Medicaid cases in all DRGs in Iowa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“Final payment rate”</w:t>
      </w:r>
      <w:r>
        <w:rPr>
          <w:rFonts w:ascii="Times New Roman" w:hAnsi="Times New Roman"/>
          <w:b w:val="false"/>
          <w:i w:val="false"/>
          <w:color w:val="000000"/>
          <w:sz w:val="22"/>
        </w:rPr>
        <w:t> </w:t>
      </w:r>
      <w:r>
        <w:rPr>
          <w:rFonts w:ascii="Times New Roman" w:hAnsi="Times New Roman"/>
          <w:b w:val="false"/>
          <w:i w:val="false"/>
          <w:color w:val="000000"/>
          <w:sz w:val="22"/>
        </w:rPr>
        <w:t>means the aggregate sum of the two components (the blended base amount and capital costs) that, when added together, form the final dollar value used to calculate each provider’s reimbursement amount when multiplied by the DRG weight. These dollar values are displayed on the rate table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DRG transfer”</w:t>
      </w:r>
      <w:r>
        <w:rPr>
          <w:rFonts w:ascii="Times New Roman" w:hAnsi="Times New Roman"/>
          <w:b w:val="false"/>
          <w:i w:val="false"/>
          <w:color w:val="000000"/>
          <w:sz w:val="22"/>
        </w:rPr>
        <w:t> </w:t>
      </w:r>
      <w:r>
        <w:rPr>
          <w:rFonts w:ascii="Times New Roman" w:hAnsi="Times New Roman"/>
          <w:b w:val="false"/>
          <w:i w:val="false"/>
          <w:color w:val="000000"/>
          <w:sz w:val="22"/>
        </w:rPr>
        <w:t>means that a case, coded as a transfer to another hospital, will be considered to be a normal claim for recalibration or rebasing purposes if payment is equal to or greater than the full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“GME/DSH fund apportionment claim set”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hospital’s applicable Medicaid base year cost report period. The claim set is updated in July of every third year and is modeled using recalibrated rates pursuant to paragraph </w:t>
      </w:r>
      <w:hyperlink r:id="rId95">
        <w:r>
          <w:rPr>
            <w:rStyle w:val="Hyperlink"/>
            <w:rFonts w:ascii="Times New Roman" w:hAnsi="Times New Roman"/>
            <w:b w:val="false"/>
            <w:i w:val="false"/>
            <w:color w:val="000000"/>
            <w:sz w:val="22"/>
          </w:rPr>
          <w:t>79.1(5)</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“GME/DSH fund implementation year”</w:t>
      </w:r>
      <w:r>
        <w:rPr>
          <w:rFonts w:ascii="Times New Roman" w:hAnsi="Times New Roman"/>
          <w:b w:val="false"/>
          <w:i w:val="false"/>
          <w:color w:val="000000"/>
          <w:sz w:val="22"/>
        </w:rPr>
        <w:t> </w:t>
      </w:r>
      <w:r>
        <w:rPr>
          <w:rFonts w:ascii="Times New Roman" w:hAnsi="Times New Roman"/>
          <w:b w:val="false"/>
          <w:i w:val="false"/>
          <w:color w:val="000000"/>
          <w:sz w:val="22"/>
        </w:rPr>
        <w:t>means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“Graduate medical education and disproportionate share fund”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“GME/DSH fund”</w:t>
      </w:r>
      <w:r>
        <w:rPr>
          <w:rFonts w:ascii="Times New Roman" w:hAnsi="Times New Roman"/>
          <w:b w:val="false"/>
          <w:i w:val="false"/>
          <w:color w:val="000000"/>
          <w:sz w:val="22"/>
        </w:rPr>
        <w:t> </w:t>
      </w:r>
      <w:r>
        <w:rPr>
          <w:rFonts w:ascii="Times New Roman" w:hAnsi="Times New Roman"/>
          <w:b w:val="false"/>
          <w:i w:val="false"/>
          <w:color w:val="000000"/>
          <w:sz w:val="22"/>
        </w:rPr>
        <w:t>means a reimbursement fund developed as an adjunct reimbursement methodology to directly reimburse qualifying hospitals for the direct and indirect costs associated with the operation of graduate medical education programs and the costs associated with the treatment of a disproportionate share of poor, indigent, nonreimbursed or nominally reimbursed patients for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“Indirect medical education rate”</w:t>
      </w:r>
      <w:r>
        <w:rPr>
          <w:rFonts w:ascii="Times New Roman" w:hAnsi="Times New Roman"/>
          <w:b w:val="false"/>
          <w:i w:val="false"/>
          <w:color w:val="000000"/>
          <w:sz w:val="22"/>
        </w:rPr>
        <w:t> </w:t>
      </w:r>
      <w:r>
        <w:rPr>
          <w:rFonts w:ascii="Times New Roman" w:hAnsi="Times New Roman"/>
          <w:b w:val="false"/>
          <w:i w:val="false"/>
          <w:color w:val="000000"/>
          <w:sz w:val="22"/>
        </w:rPr>
        <w:t>means a rate calculated as follows: The statewide average case-mix adjusted operating cost per Medicaid discharge, divided by two, is added to the statewide average capital costs, divided by two. The resulting sum is then multiplied by the ratio of the number of full-time equivalent interns and residents serving in a Medicare-approved hospital teaching program divided by the number of beds included in hospital departments served by the interns’ and residents’ program and is further multiplied by 1.159.</w:t>
      </w:r>
    </w:p>
    <w:p>
      <w:pPr>
        <w:spacing w:before="0" w:after="0"/>
        <w:ind w:left="120"/>
        <w:jc w:val="both"/>
      </w:pPr>
      <w:r>
        <w:rPr>
          <w:rFonts w:ascii="Times New Roman" w:hAnsi="Times New Roman"/>
          <w:b w:val="false"/>
          <w:i w:val="false"/>
          <w:color w:val="000000"/>
          <w:sz w:val="22"/>
        </w:rPr>
        <w:t>For purposes of calculating the disproportionate share rate only, a separate indirect medical education rate will be determined for any hospital that qualifies for a disproportionate share payment only as a children’s hospital based on a distinct area or areas serving children, using the number of full-time equivalent interns and residents and the number of beds in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“Inlier”</w:t>
      </w:r>
      <w:r>
        <w:rPr>
          <w:rFonts w:ascii="Times New Roman" w:hAnsi="Times New Roman"/>
          <w:b w:val="false"/>
          <w:i w:val="false"/>
          <w:color w:val="000000"/>
          <w:sz w:val="22"/>
        </w:rPr>
        <w:t> </w:t>
      </w:r>
      <w:r>
        <w:rPr>
          <w:rFonts w:ascii="Times New Roman" w:hAnsi="Times New Roman"/>
          <w:b w:val="false"/>
          <w:i w:val="false"/>
          <w:color w:val="000000"/>
          <w:sz w:val="22"/>
        </w:rPr>
        <w:t>means those cases where the length of stay or cost of treatment falls within the actual calculated length of stay criteria or the cost of treating a patient is within the cost boundaries of a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“Long stay outlier”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cases that have an associated length of stay that is greater than the calculated length of stay parameters as defined within the length of stay calculations for that DRG. Payment is as established in paragraph </w:t>
      </w:r>
      <w:hyperlink r:id="rId96">
        <w:r>
          <w:rPr>
            <w:rStyle w:val="Hyperlink"/>
            <w:rFonts w:ascii="Times New Roman" w:hAnsi="Times New Roman"/>
            <w:b w:val="false"/>
            <w:i w:val="false"/>
            <w:color w:val="000000"/>
            <w:sz w:val="22"/>
          </w:rPr>
          <w:t>79.1(5)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“Low-income utilization rate”</w:t>
      </w:r>
      <w:r>
        <w:rPr>
          <w:rFonts w:ascii="Times New Roman" w:hAnsi="Times New Roman"/>
          <w:b w:val="false"/>
          <w:i w:val="false"/>
          <w:color w:val="000000"/>
          <w:sz w:val="22"/>
        </w:rPr>
        <w:t> </w:t>
      </w:r>
      <w:r>
        <w:rPr>
          <w:rFonts w:ascii="Times New Roman" w:hAnsi="Times New Roman"/>
          <w:b w:val="false"/>
          <w:i w:val="false"/>
          <w:color w:val="000000"/>
          <w:sz w:val="22"/>
        </w:rPr>
        <w:t>means the ratio of gross billings for all Medicaid, bad debt, and charity care patients, including billings for Medicaid enrollees of managed care organizations and primary care case management organizations, to total billings for all patients. Gross billings do not include cash subsidies received by the hospital for inpatient hospital services except as provided from state or local governments.</w:t>
      </w:r>
    </w:p>
    <w:p>
      <w:pPr>
        <w:spacing w:before="0" w:after="0"/>
        <w:ind w:left="120"/>
        <w:jc w:val="both"/>
      </w:pPr>
      <w:r>
        <w:rPr>
          <w:rFonts w:ascii="Times New Roman" w:hAnsi="Times New Roman"/>
          <w:b w:val="false"/>
          <w:i w:val="false"/>
          <w:color w:val="000000"/>
          <w:sz w:val="22"/>
        </w:rPr>
        <w:t>A separate low-income utilization rate will be determined for any hospital qualifying or seeking to qualify for a disproportionate share payment as a children’s hospital, using only billings for patients under 18 years of age at the time of admission in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 claim set”</w:t>
      </w:r>
      <w:r>
        <w:rPr>
          <w:rFonts w:ascii="Times New Roman" w:hAnsi="Times New Roman"/>
          <w:b w:val="false"/>
          <w:i w:val="false"/>
          <w:color w:val="000000"/>
          <w:sz w:val="22"/>
        </w:rPr>
        <w:t> </w:t>
      </w:r>
      <w:r>
        <w:rPr>
          <w:rFonts w:ascii="Times New Roman" w:hAnsi="Times New Roman"/>
          <w:b w:val="false"/>
          <w:i w:val="false"/>
          <w:color w:val="000000"/>
          <w:sz w:val="22"/>
        </w:rPr>
        <w:t>means the hospital’s applicable Medicaid claims for the period of January 1, 2018, through December 31, 2019, and paid through March 31,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 inpatient utilization rate”</w:t>
      </w:r>
      <w:r>
        <w:rPr>
          <w:rFonts w:ascii="Times New Roman" w:hAnsi="Times New Roman"/>
          <w:b w:val="false"/>
          <w:i w:val="false"/>
          <w:color w:val="000000"/>
          <w:sz w:val="22"/>
        </w:rPr>
        <w:t> </w:t>
      </w:r>
      <w:r>
        <w:rPr>
          <w:rFonts w:ascii="Times New Roman" w:hAnsi="Times New Roman"/>
          <w:b w:val="false"/>
          <w:i w:val="false"/>
          <w:color w:val="000000"/>
          <w:sz w:val="22"/>
        </w:rPr>
        <w:t>means the number of total Medicaid days, including days for Medicaid enrollees of managed care organizations and primary care case management organizations, both in-state and out-of-state, and Iowa state indigent patient days divided by the number of total inpatient days for both in-state and out-of-state recipients. Children’s hospitals, including hospitals qualifying for disproportionate share as a children’s hospital, receive twice the percentage of inpatient hospital days attributable to Medicaid patients.</w:t>
      </w:r>
    </w:p>
    <w:p>
      <w:pPr>
        <w:spacing w:before="0" w:after="0"/>
        <w:ind w:left="120"/>
        <w:jc w:val="both"/>
      </w:pPr>
      <w:r>
        <w:rPr>
          <w:rFonts w:ascii="Times New Roman" w:hAnsi="Times New Roman"/>
          <w:b w:val="false"/>
          <w:i w:val="false"/>
          <w:color w:val="000000"/>
          <w:sz w:val="22"/>
        </w:rPr>
        <w:t>A separate Medicaid inpatient utilization rate will be determined for any hospital qualifying or seeking to qualify for a disproportionate share payment as a children’s hospital, using only Medicaid days, Iowa state indigent patient days, and total inpatient days attributable to patients under 18 years of age at the time of admission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“Neonatal intensive care unit”</w:t>
      </w:r>
      <w:r>
        <w:rPr>
          <w:rFonts w:ascii="Times New Roman" w:hAnsi="Times New Roman"/>
          <w:b w:val="false"/>
          <w:i w:val="false"/>
          <w:color w:val="000000"/>
          <w:sz w:val="22"/>
        </w:rPr>
        <w:t> </w:t>
      </w:r>
      <w:r>
        <w:rPr>
          <w:rFonts w:ascii="Times New Roman" w:hAnsi="Times New Roman"/>
          <w:b w:val="false"/>
          <w:i w:val="false"/>
          <w:color w:val="000000"/>
          <w:sz w:val="22"/>
        </w:rPr>
        <w:t>means a designated level II or level III neonatal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“Net discharges”</w:t>
      </w:r>
      <w:r>
        <w:rPr>
          <w:rFonts w:ascii="Times New Roman" w:hAnsi="Times New Roman"/>
          <w:b w:val="false"/>
          <w:i w:val="false"/>
          <w:color w:val="000000"/>
          <w:sz w:val="22"/>
        </w:rPr>
        <w:t> </w:t>
      </w:r>
      <w:r>
        <w:rPr>
          <w:rFonts w:ascii="Times New Roman" w:hAnsi="Times New Roman"/>
          <w:b w:val="false"/>
          <w:i w:val="false"/>
          <w:color w:val="000000"/>
          <w:sz w:val="22"/>
        </w:rPr>
        <w:t>means total discharges minus transfers and short stay outliers.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 table listing”</w:t>
      </w:r>
      <w:r>
        <w:rPr>
          <w:rFonts w:ascii="Times New Roman" w:hAnsi="Times New Roman"/>
          <w:b w:val="false"/>
          <w:i w:val="false"/>
          <w:color w:val="000000"/>
          <w:sz w:val="22"/>
        </w:rPr>
        <w:t> </w:t>
      </w:r>
      <w:r>
        <w:rPr>
          <w:rFonts w:ascii="Times New Roman" w:hAnsi="Times New Roman"/>
          <w:b w:val="false"/>
          <w:i w:val="false"/>
          <w:color w:val="000000"/>
          <w:sz w:val="22"/>
        </w:rPr>
        <w:t>means a schedule of rate payments for each provider. The rate table listing is defined as the output that shows the final payment rate by a hospital before being multiplied by the appropriate DRG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“Rebasing”</w:t>
      </w:r>
      <w:r>
        <w:rPr>
          <w:rFonts w:ascii="Times New Roman" w:hAnsi="Times New Roman"/>
          <w:b w:val="false"/>
          <w:i w:val="false"/>
          <w:color w:val="000000"/>
          <w:sz w:val="22"/>
        </w:rPr>
        <w:t> </w:t>
      </w:r>
      <w:r>
        <w:rPr>
          <w:rFonts w:ascii="Times New Roman" w:hAnsi="Times New Roman"/>
          <w:b w:val="false"/>
          <w:i w:val="false"/>
          <w:color w:val="000000"/>
          <w:sz w:val="22"/>
        </w:rPr>
        <w:t>means the redetermination of the blended base amount or other applicable components of the final payment rate from more recent Medicaid cost report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“Rebasing implementation year”</w:t>
      </w:r>
      <w:r>
        <w:rPr>
          <w:rFonts w:ascii="Times New Roman" w:hAnsi="Times New Roman"/>
          <w:b w:val="false"/>
          <w:i w:val="false"/>
          <w:color w:val="000000"/>
          <w:sz w:val="22"/>
        </w:rPr>
        <w:t> </w:t>
      </w:r>
      <w:r>
        <w:rPr>
          <w:rFonts w:ascii="Times New Roman" w:hAnsi="Times New Roman"/>
          <w:b w:val="false"/>
          <w:i w:val="false"/>
          <w:color w:val="000000"/>
          <w:sz w:val="22"/>
        </w:rPr>
        <w:t>means 2021 and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“Recalibration”</w:t>
      </w:r>
      <w:r>
        <w:rPr>
          <w:rFonts w:ascii="Times New Roman" w:hAnsi="Times New Roman"/>
          <w:b w:val="false"/>
          <w:i w:val="false"/>
          <w:color w:val="000000"/>
          <w:sz w:val="22"/>
        </w:rPr>
        <w:t> </w:t>
      </w:r>
      <w:r>
        <w:rPr>
          <w:rFonts w:ascii="Times New Roman" w:hAnsi="Times New Roman"/>
          <w:b w:val="false"/>
          <w:i w:val="false"/>
          <w:color w:val="000000"/>
          <w:sz w:val="22"/>
        </w:rPr>
        <w:t>means the adjustment of all DRG weights to reflect changes in relative resource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“Short stay day outlier”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cases that have an associated length of stay that is less than the calculated length of stay parameters as defined within the length of stay calculations. Payment rates are established in paragraph </w:t>
      </w:r>
      <w:hyperlink r:id="rId97">
        <w:r>
          <w:rPr>
            <w:rStyle w:val="Hyperlink"/>
            <w:rFonts w:ascii="Times New Roman" w:hAnsi="Times New Roman"/>
            <w:b w:val="false"/>
            <w:i w:val="false"/>
            <w:color w:val="000000"/>
            <w:sz w:val="22"/>
          </w:rPr>
          <w:t>79.1(5)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final payment rate amount. </w:t>
      </w:r>
      <w:r>
        <w:rPr>
          <w:rFonts w:ascii="Times New Roman" w:hAnsi="Times New Roman"/>
          <w:b w:val="false"/>
          <w:i w:val="false"/>
          <w:color w:val="000000"/>
          <w:sz w:val="22"/>
        </w:rPr>
        <w:t>The hospital DRG final payment amount reflects the sum of inflation adjustments to the blended base amount plus an add-on for capital costs. This blended base amount plus the add-on is multiplied by the set of Iowa-specific DRG weights to establish a rate schedule for each hospital. Federal DRG definitions are adopted except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 abuse units certified pursuant to paragraph </w:t>
      </w:r>
      <w:hyperlink r:id="rId98">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Three sets of DRG weights are developed for DRGs concerning rehabilitation of substance abuse patients. The first set of weights is developed from charges associated with treating adults in certified substance abuse units. The second set of weights reflects charges associated with treating adolescents in mixed-age certified substance abuse units. The third set of weights reflects charges associated with treating adolescents in designated adolescent-only certified substance abuse units.</w:t>
      </w:r>
    </w:p>
    <w:p>
      <w:pPr>
        <w:spacing w:before="0" w:after="0"/>
        <w:ind w:left="120"/>
        <w:jc w:val="both"/>
      </w:pPr>
      <w:r>
        <w:rPr>
          <w:rFonts w:ascii="Times New Roman" w:hAnsi="Times New Roman"/>
          <w:b w:val="false"/>
          <w:i w:val="false"/>
          <w:color w:val="000000"/>
          <w:sz w:val="22"/>
        </w:rPr>
        <w:t>Hospitals with these units are reimbursed using the weight that reflects the age of each patient. Out-of-state hospitals may not receive reimbursement for the rehabilitation portion of substance abuse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Neonatal intensive care units certified pursuant to paragraph </w:t>
      </w:r>
      <w:hyperlink r:id="rId99">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Three sets of weights are developed for DRGs concerning treatment of neonates. One set of weights is developed from charges associated with treating neonates in a designated level III neonatal intensive care unit for some portion of their hospitalization. The second set of weights is developed from charges associated with treating neonates in a designated level II neonatal intensive care unit for some portion of their hospitalization. The third set of weights reflects charges associated with neonates not treated in a designated level II or level III setting. Hospitals are reimbursed using the weight that reflects the setting for neonate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Calculation of Iowa-specific weights and case-mix index. </w:t>
      </w:r>
      <w:r>
        <w:rPr>
          <w:rFonts w:ascii="Times New Roman" w:hAnsi="Times New Roman"/>
          <w:b w:val="false"/>
          <w:i w:val="false"/>
          <w:color w:val="000000"/>
          <w:sz w:val="22"/>
        </w:rPr>
        <w:t>From the Medicaid claim set, the recalibration for rates effective October 1, 2021, will use all normal inlier claims, discard short stay outliers, discard transfers where the final payment is less than the full DRG payment, include transfers where the full payment is greater than or equal to the full DRG payment, and use only the estimated charge for the inlier portion of long stay outliers and cost outliers for weighting calculations. These are referred to as trimmed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Iowa-specific weights are calculated with Medicaid cost data less medical education from the Medicaid claim set using trimmed claims. Medicaid cost data for hospitals receiving reimbursement as critical access hospitals during any of the period included in the base year cost report will not be used in calculating Iowa-specific weights. One weight is determined for each DRG with noted exceptions pursuant to paragraph </w:t>
      </w:r>
      <w:hyperlink r:id="rId100">
        <w:r>
          <w:rPr>
            <w:rStyle w:val="Hyperlink"/>
            <w:rFonts w:ascii="Times New Roman" w:hAnsi="Times New Roman"/>
            <w:b w:val="false"/>
            <w:i w:val="false"/>
            <w:color w:val="000000"/>
            <w:sz w:val="22"/>
          </w:rPr>
          <w:t>79.1(5)</w:t>
        </w:r>
        <w:r>
          <w:rPr>
            <w:rFonts w:ascii="Times New Roman" w:hAnsi="Times New Roman"/>
            <w:b w:val="false"/>
            <w:i/>
            <w:color w:val="000000"/>
            <w:sz w:val="22"/>
          </w:rPr>
          <w:t>“b.”</w:t>
        </w:r>
      </w:hyperlink>
      <w:r>
        <w:rPr>
          <w:rFonts w:ascii="Times New Roman" w:hAnsi="Times New Roman"/>
          <w:b w:val="false"/>
          <w:i w:val="false"/>
          <w:color w:val="000000"/>
          <w:sz w:val="22"/>
        </w:rPr>
        <w:t xml:space="preserve"> Weights are determined through the following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the statewide geometric mean cost for all cases classified in each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 the statewide aggregate geometric mean cost for each DRG by multiplying the statewide geometric mean cost for each DRG by the total number of cases classified in that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Sum the statewide aggregate geometric mean costs for all DRGs and divide by the total number of cases for all DRGs to determine the weighted average geometric mean cost for all DRGs.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Divide the statewide geometric mean cost for each DRG by the weighted average geometric mean cost for all DRGs to derive the Iowa-specific weight for each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Normalize the weights so that the average case has a weight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hospital-specific case-mix index is computed by taking each hospital’s trimmed claims that match the hospital’s base year cost reporting period, summing the assigned DRG weights associated with those claims and dividing by the total number of Medicaid claims associated with that specific hospital for that period. Case-mix indices are not computed for hospitals receiving reimbursement as critical access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the disproportionate share rate only, a separate hospital-specific case-mix index will be computed for any hospital that qualifies for a disproportionate share payment only as a children’s hospital. The computation will use only claims and associated DRG weights for services provided to patients under 18 years of age at the time of admission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Calculation of blended base amount. </w:t>
      </w:r>
      <w:r>
        <w:rPr>
          <w:rFonts w:ascii="Times New Roman" w:hAnsi="Times New Roman"/>
          <w:b w:val="false"/>
          <w:i w:val="false"/>
          <w:color w:val="000000"/>
          <w:sz w:val="22"/>
        </w:rPr>
        <w:t>The DRG blended base amount reflects a 50/50 blend of statewide and hospital-specific base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Calculation of statewide average case-mix-adjusted cost per discharge. The statewide average cost per discharge is calculated by subtracting from the statewide total Iowa Medicaid inpatient expenditures multiplied by a factor to maintain expenditures within the amount appropriated to the department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calculated dollar expenditures based on hospitals’ base year cost reports for capital costs and medical education costs, multiplied by a factor to maintain expenditures within the amount appropriated to the department for this purpose,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actual payments made for additional transfers, outliers, physical rehabilitation services, psychiatric services, and indirect medical education.</w:t>
      </w:r>
    </w:p>
    <w:p>
      <w:pPr>
        <w:spacing w:before="0" w:after="0"/>
        <w:ind w:left="120"/>
        <w:jc w:val="both"/>
      </w:pPr>
      <w:r>
        <w:rPr>
          <w:rFonts w:ascii="Times New Roman" w:hAnsi="Times New Roman"/>
          <w:b w:val="false"/>
          <w:i w:val="false"/>
          <w:color w:val="000000"/>
          <w:sz w:val="22"/>
        </w:rPr>
        <w:t>Cost report data for hospitals receiving reimbursement as critical access hospitals during any of the period of time included in the base year cost report is not used in calculating the statewide average cost per discharge. The remaining amount (which has been case-mix adjusted) is divided by the statewide total number of Iowa Medicaid discharges reported in the Medicaid management information system (MMIS) less an actual number of nonfull DRG transfers and short stay outliers.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Calculation of hospital-specific case-mix-adjusted average cost per discharge. The hospital-specific case-mix-adjusted average cost per discharge is calculated by subtracting from the lesser of total Iowa Medicaid costs or covered reasonable charges, as determined by the hospital’s base year cost report or MMIS claims system, the actual dollar expenditures for capital costs, and direct medical education costs multiplied by an amount to maintain expenditures within the amount appropriated to the department for this purpose, and then subtracting payments made for nonfull DRG transfers, outliers, physical rehabilitation services, and psychiatric services, if applicable. The remaining amount is case-mix adjusted, multiplied by inflation factors, and divided by the total number of Iowa Medicaid discharges from the MMIS claims system for that hospital during the applicable base year, less the nonfull DRG transfers and short stay outliers.</w:t>
      </w:r>
    </w:p>
    <w:p>
      <w:pPr>
        <w:spacing w:before="0" w:after="0"/>
        <w:ind w:left="120"/>
        <w:jc w:val="both"/>
      </w:pPr>
      <w:r>
        <w:rPr>
          <w:rFonts w:ascii="Times New Roman" w:hAnsi="Times New Roman"/>
          <w:b w:val="false"/>
          <w:i w:val="false"/>
          <w:color w:val="000000"/>
          <w:sz w:val="22"/>
        </w:rPr>
        <w:t>For purposes of calculating the disproportionate share rate only, a separate hospital-specific case-mix-adjusted average cost per discharge will be calculated for any hospital that qualifies for a disproportionate share payment only as a children’s hospital based on a distinct area or areas serving children, using the costs, charges, expenditures, payments, discharges, transfers, and outliers attributable to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Calculation of the blended statewide and hospital-specific base amount. The hospital-specific case-mix adjusted average cost per discharge is added to the case-mix adjusted statewide average cost per discharge and divided by two to arrive at a 50/50 blended base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Add-ons to the base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payment for capital costs is added on to the blended base amount.</w:t>
      </w:r>
    </w:p>
    <w:p>
      <w:pPr>
        <w:spacing w:before="0" w:after="0"/>
        <w:ind w:left="120"/>
        <w:jc w:val="both"/>
      </w:pPr>
      <w:r>
        <w:rPr>
          <w:rFonts w:ascii="Times New Roman" w:hAnsi="Times New Roman"/>
          <w:b w:val="false"/>
          <w:i w:val="false"/>
          <w:color w:val="000000"/>
          <w:sz w:val="22"/>
        </w:rPr>
        <w:t>Capital costs are included in the rate table listing and added to the blended base amount before the final payment rate schedule is set. This add-on reflects a 50/50 blend of the statewide average case-mix-adjusted capital cost per discharge and the case-mix-adjusted hospital-specific base year capital cost per discharge attributed to Iowa Medicaid patients.</w:t>
      </w:r>
    </w:p>
    <w:p>
      <w:pPr>
        <w:spacing w:before="0" w:after="0"/>
        <w:ind w:left="120"/>
        <w:jc w:val="both"/>
      </w:pPr>
      <w:r>
        <w:rPr>
          <w:rFonts w:ascii="Times New Roman" w:hAnsi="Times New Roman"/>
          <w:b w:val="false"/>
          <w:i w:val="false"/>
          <w:color w:val="000000"/>
          <w:sz w:val="22"/>
        </w:rPr>
        <w:t>Allowable capital costs are determined by multiplying the capital amount from the base year cost report by 80 percent and then multiplied by a factor to maintain expenditures within the amount appropriated to the department for this purpose. Cost report data for hospitals receiving reimbursement as critical access hospitals during any of the period of time included in the base year cost report is not used in calculating the statewide average case-mix-adjusted capital cost per discharge.</w:t>
      </w:r>
    </w:p>
    <w:p>
      <w:pPr>
        <w:spacing w:before="0" w:after="0"/>
        <w:ind w:left="120"/>
        <w:jc w:val="both"/>
      </w:pPr>
      <w:r>
        <w:rPr>
          <w:rFonts w:ascii="Times New Roman" w:hAnsi="Times New Roman"/>
          <w:b w:val="false"/>
          <w:i w:val="false"/>
          <w:color w:val="000000"/>
          <w:sz w:val="22"/>
        </w:rPr>
        <w:t>The 50/50 blend is calculated by adding the case-mix-adjusted hospital-specific per discharge capital cost to the statewide average case-mix-adjusted per discharge capital costs and dividing by two. Hospitals whose blended capital add-on exceeds one standard deviation off the mean Medicaid blended capital rate will be subject to a reduction in their capital add-on to equal the first standard deviation.</w:t>
      </w:r>
    </w:p>
    <w:p>
      <w:pPr>
        <w:spacing w:before="0" w:after="0"/>
        <w:ind w:left="120"/>
        <w:jc w:val="both"/>
      </w:pPr>
      <w:r>
        <w:rPr>
          <w:rFonts w:ascii="Times New Roman" w:hAnsi="Times New Roman"/>
          <w:b w:val="false"/>
          <w:i w:val="false"/>
          <w:color w:val="000000"/>
          <w:sz w:val="22"/>
        </w:rPr>
        <w:t>For purposes of calculating the disproportionate share rate only, a separate add-on to the base amount for capital costs will be calculated for any hospital that qualifies for a disproportionate share payment only as a children’s hospital based on a distinct area or areas serving children, using the case-mix-adjusted hospital-specific base year capital cost per discharge attributed to Iowa Medicaid patients in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Outlier payment policy. </w:t>
      </w:r>
      <w:r>
        <w:rPr>
          <w:rFonts w:ascii="Times New Roman" w:hAnsi="Times New Roman"/>
          <w:b w:val="false"/>
          <w:i w:val="false"/>
          <w:color w:val="000000"/>
          <w:sz w:val="22"/>
        </w:rPr>
        <w:t>Additional payment is made for approved cases meeting or exceeding Medicaid criteria for day and cost outliers for each DRG. One hundred percent of outlier costs will be paid to facilities at the time of claim reimbursement. Iowa Medicaid will perform retrospective outlier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Long stay outliers. Long stay outliers are incurred when a patient’s stay exceeds the upper day limit threshold. This threshold is defined as the lesser of the arithmetically calculated average length of stay plus 23 days of care or two standard deviations above the average statewide length of stay for a given DRG, calculated geometrically. Reimbursement for long stay outliers is calculated at 60 percent of the average daily rate for the given DRG for each approved day of stay beyond the upper day limit. Payment for long stay outliers will be paid at 100 percent of the calculated amount and made at the time the claim is originally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Short stay outliers. Short stay outliers are incurred when a patient’s length of stay is greater than two standard deviations from the geometric mean below the average statewide length of stay for a given DRG, rounded to the next highest whole number of days. Payment for short stay outliers will be 200 percent of the average daily rate for each day the patient qualifies up to the full DRG payment. Short stay outlier claims will be subject to Iowa Medicaid review and payment denied for inappropriate admissions.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outliers. Cases qualify as cost outliers when costs of service in a given case, not including any add-on amounts for direct or indirect medical education or disproportionate share costs exceed the cost threshold. This cost threshold is determined to be the greater of two times the statewide average DRG payment for that case or the hospital’s individual DRG payment for that case plus $75,000. Costs are calculated using hospital-specific cost-to-charge ratios determined in the base year cost reports. Additional payment for cost outliers is 80 percent of the excess between the hospital’s cost for the discharge and the cost threshold established to define cost outliers. Payment of cost outlier amounts will be paid at 100 percent of the calculated amount and made at the time the claim is paid.</w:t>
      </w:r>
    </w:p>
    <w:p>
      <w:pPr>
        <w:spacing w:before="0" w:after="0"/>
        <w:ind w:left="120"/>
        <w:jc w:val="both"/>
      </w:pPr>
      <w:r>
        <w:rPr>
          <w:rFonts w:ascii="Times New Roman" w:hAnsi="Times New Roman"/>
          <w:b w:val="false"/>
          <w:i w:val="false"/>
          <w:color w:val="000000"/>
          <w:sz w:val="22"/>
        </w:rPr>
        <w:t>Those hospitals that are notified of any outlier review initiated by Iowa Medicaid must submit all requested supporting data to Iowa Medicaid within 60 days of the receipt of outlier review notification, or outlier payment will be forfeited and recouped. In addition, any hospital may request a review for outlier payment by submitting documentation to Iowa Medicaid within 365 days of receipt of the outlier payment. If requests are not filed within 365 days, the provider loses the right to appeal or contest that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Day and cost outliers. Cases qualifying as both day and cost outliers are given additional payment as cost outliers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Billing for patient transfers and readmissions.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Transfers between hospitals. When a Medicaid patient is transferred, the initial hospital or unit is paid 100 percent of the average daily rate of the transferring hospital’s payment for each day the patient remained in that hospital or unit, up to 100 percent of the entire DRG payment. The hospital or unit that received the transferred patient receives the entire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 abuse units. When a patient is discharged to or from an acute care hospital and is admitted to or from a substance abuse unit certified pursuant to paragraph </w:t>
      </w:r>
      <w:hyperlink r:id="rId101">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both the discharging and admitting hospitals will receive 100 percent of the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rehabilitation hospitals or units. When a patient requiring physical rehabilitation is discharged from an acute care hospital and admitted to a rehabilitation hospital or unit certified pursuant to paragraph </w:t>
      </w:r>
      <w:hyperlink r:id="rId102">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through a per diem. The discharging hospital will receive 100 percent of the DRG payment. When a patient is discharged from a certified physical rehabilitation hospital or unit and admitted to an acute care hospital, the acute care hospital will receive 100 percent of the DRG payment.</w:t>
      </w:r>
    </w:p>
    <w:p>
      <w:pPr>
        <w:spacing w:before="0" w:after="0"/>
        <w:ind w:left="120"/>
        <w:jc w:val="both"/>
      </w:pPr>
      <w:r>
        <w:rPr>
          <w:rFonts w:ascii="Times New Roman" w:hAnsi="Times New Roman"/>
          <w:b w:val="false"/>
          <w:i w:val="false"/>
          <w:color w:val="000000"/>
          <w:sz w:val="22"/>
        </w:rPr>
        <w:t xml:space="preserve">When a patient requiring physical rehabilitation is discharged from a facility other than an acute care hospital and admitted to a rehabilitation hospital or unit certified pursuant to paragraph </w:t>
      </w:r>
      <w:hyperlink r:id="rId103">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based on a per diem. The other facility will receive payment in accordance with rules governing that facility. When a patient is discharged from a certified physical rehabilitation hospital or unit and admitted to a facility other than an acute care hospital, the other facility will receive payment in accordance with rules governing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Psychiatric units.</w:t>
      </w:r>
    </w:p>
    <w:p>
      <w:pPr>
        <w:spacing w:before="0" w:after="0"/>
        <w:ind w:left="120"/>
        <w:jc w:val="both"/>
      </w:pPr>
      <w:r>
        <w:rPr>
          <w:rFonts w:ascii="Times New Roman" w:hAnsi="Times New Roman"/>
          <w:b w:val="false"/>
          <w:i w:val="false"/>
          <w:color w:val="000000"/>
          <w:sz w:val="22"/>
        </w:rPr>
        <w:t xml:space="preserve">When a patient requiring psychiatric care is discharged from an acute care hospital and admitted to a psychiatric unit certified pursuant to paragraph </w:t>
      </w:r>
      <w:hyperlink r:id="rId104">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through a per diem. The discharging hospital will receive 100 percent of the DRG payment. When a patient is discharged from a certified psychiatric unit and is admitted to an acute care hospital, the acute care hospital will receive 100 percent of the DRG payment.</w:t>
      </w:r>
    </w:p>
    <w:p>
      <w:pPr>
        <w:spacing w:before="0" w:after="0"/>
        <w:ind w:left="120"/>
        <w:jc w:val="both"/>
      </w:pPr>
      <w:r>
        <w:rPr>
          <w:rFonts w:ascii="Times New Roman" w:hAnsi="Times New Roman"/>
          <w:b w:val="false"/>
          <w:i w:val="false"/>
          <w:color w:val="000000"/>
          <w:sz w:val="22"/>
        </w:rPr>
        <w:t xml:space="preserve">When a patient requiring psychiatric care is discharged from a facility other than an acute care hospital and is admitted to a psychiatric unit certified pursuant to paragraph </w:t>
      </w:r>
      <w:hyperlink r:id="rId105">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based on a per diem. The other facility will receive payment in accordance with rules governing that facility. When a patient is discharged from a certified psychiatric unit and is admitted to a facility other than an acute care hospital, the other facility will receive payment in accordance with rules governing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Inpatient readmissions within 30 days for same condition. When an inpatient is discharged or transferred from an acute care hospital and is readmitted as an inpatient to the same hospital within 30 days for the same condition, any claim for the subsequent inpatient stay will be combined with the claim for the original inpatient stay and payment will be under a single DRG for both stays. The readmission policy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Scheduled readmissions that are part of repetitive or periodic treatments;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Critical access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Covered DRGs. </w:t>
      </w:r>
      <w:r>
        <w:rPr>
          <w:rFonts w:ascii="Times New Roman" w:hAnsi="Times New Roman"/>
          <w:b w:val="false"/>
          <w:i w:val="false"/>
          <w:color w:val="000000"/>
          <w:sz w:val="22"/>
        </w:rPr>
        <w:t xml:space="preserve">Medicaid DRGs cover services provided in acute care general hospitals, with the exception of services provided in physical rehabilitation hospitals and units certified pursuant to paragraph </w:t>
      </w:r>
      <w:hyperlink r:id="rId106">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services provided in psychiatric units certified pursuant to paragraph </w:t>
      </w:r>
      <w:hyperlink r:id="rId107">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which are paid per diem, as specified in paragraph </w:t>
      </w:r>
      <w:hyperlink r:id="rId108">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Payment for certified physical rehabilitation hospitals and units, psychiatric units, and acute psychiatric intensive care services. </w:t>
      </w:r>
      <w:r>
        <w:rPr>
          <w:rFonts w:ascii="Times New Roman" w:hAnsi="Times New Roman"/>
          <w:b w:val="false"/>
          <w:i w:val="false"/>
          <w:color w:val="000000"/>
          <w:sz w:val="22"/>
        </w:rPr>
        <w:t xml:space="preserve">Payment for services provided by a physical rehabilitation hospital or unit certified pursuant to paragraph </w:t>
      </w:r>
      <w:hyperlink r:id="rId109">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for services provided in a psychiatric unit certified pursuant to paragraph </w:t>
      </w:r>
      <w:hyperlink r:id="rId110">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is prospective. The payment is based on a per diem rate calculated for each hospital by establishing a base year per diem rate to which a factor to maintain expenditures within the amount appropriated to the department for this purpose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 diem calculation. The base rate will be the medical assistance per diem rate as determined by the individual hospital’s base year cost report pursuant to paragraph </w:t>
      </w:r>
      <w:hyperlink r:id="rId111">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No recognition will be given to the professional component of the hospital-based physicians except as noted under paragraph </w:t>
      </w:r>
      <w:hyperlink r:id="rId112">
        <w:r>
          <w:rPr>
            <w:rStyle w:val="Hyperlink"/>
            <w:rFonts w:ascii="Times New Roman" w:hAnsi="Times New Roman"/>
            <w:b w:val="false"/>
            <w:i w:val="false"/>
            <w:color w:val="000000"/>
            <w:sz w:val="22"/>
          </w:rPr>
          <w:t>79.1(5)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 diem reimbursement. Hospitals will be reimbursed the lower of actual charges or the medical assistance cost per diem rate. The determination of the applicable rate will be based on the hospital fiscal year aggregate of actual charges and medical assistance cost per diem rate. If an overpayment exists, the hospital will refund or have the overpayment deducted from subsequent billings.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 diem recalculation. Hospital prospective reimbursement rates will be established based on the state’s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Acute psychiatric intensive care services. Services that meet the criteria at </w:t>
      </w:r>
      <w:hyperlink r:id="rId113">
        <w:r>
          <w:rPr>
            <w:rStyle w:val="Hyperlink"/>
            <w:rFonts w:ascii="Times New Roman" w:hAnsi="Times New Roman"/>
            <w:b w:val="false"/>
            <w:i w:val="false"/>
            <w:color w:val="000000"/>
            <w:sz w:val="22"/>
          </w:rPr>
          <w:t>441—subrule 78.3(8)</w:t>
        </w:r>
      </w:hyperlink>
      <w:r>
        <w:rPr>
          <w:rFonts w:ascii="Times New Roman" w:hAnsi="Times New Roman"/>
          <w:b w:val="false"/>
          <w:i w:val="false"/>
          <w:color w:val="000000"/>
          <w:sz w:val="22"/>
        </w:rPr>
        <w:t xml:space="preserve"> will be reimbursed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provided in a psychiatric unit certified pursuant to paragraph </w:t>
      </w:r>
      <w:hyperlink r:id="rId114">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will be paid based on the hospital-specific per diem rate as calculated pursuant to subparagraph </w:t>
      </w:r>
      <w:hyperlink r:id="rId115">
        <w:r>
          <w:rPr>
            <w:rStyle w:val="Hyperlink"/>
            <w:rFonts w:ascii="Times New Roman" w:hAnsi="Times New Roman"/>
            <w:b w:val="false"/>
            <w:i w:val="false"/>
            <w:color w:val="000000"/>
            <w:sz w:val="22"/>
          </w:rPr>
          <w:t>79.1(5)</w:t>
        </w:r>
      </w:hyperlink>
      <w:r>
        <w:rPr>
          <w:rFonts w:ascii="Times New Roman" w:hAnsi="Times New Roman"/>
          <w:b w:val="false"/>
          <w:i/>
          <w:color w:val="000000"/>
          <w:sz w:val="22"/>
        </w:rPr>
        <w:t>“i”</w:t>
      </w:r>
      <w:r>
        <w:rPr>
          <w:rFonts w:ascii="Times New Roman" w:hAnsi="Times New Roman"/>
          <w:b w:val="false"/>
          <w:i w:val="false"/>
          <w:color w:val="000000"/>
          <w:sz w:val="22"/>
        </w:rPr>
        <w:t>(1) plus a percentage increase as determined by the department for covered days billed with the appropriate psychiatric intensive care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not provided in a psychiatric unit certified pursuant to paragraph </w:t>
      </w:r>
      <w:hyperlink r:id="rId116">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will be paid based on the hospital-specific DRG payment rate as calculated pursuant to paragraph </w:t>
      </w:r>
      <w:hyperlink r:id="rId117">
        <w:r>
          <w:rPr>
            <w:rStyle w:val="Hyperlink"/>
            <w:rFonts w:ascii="Times New Roman" w:hAnsi="Times New Roman"/>
            <w:b w:val="false"/>
            <w:i w:val="false"/>
            <w:color w:val="000000"/>
            <w:sz w:val="22"/>
          </w:rPr>
          <w:t>79.1(5)</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an add-on per diem rate as determined by the department for covered days billed with the appropriate psychiatric intensive care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 diem billing. The current method for submitting billing and cost reports will be maintained. All cost reports will be subject to desk review audit and, if necessary, a field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by DRG payments. </w:t>
      </w:r>
      <w:r>
        <w:rPr>
          <w:rFonts w:ascii="Times New Roman" w:hAnsi="Times New Roman"/>
          <w:b w:val="false"/>
          <w:i w:val="false"/>
          <w:color w:val="000000"/>
          <w:sz w:val="22"/>
        </w:rPr>
        <w:t>Medicaid adopts the Medicare definition of inpatient hospital services covered by the DRG prospective payment system except as indicated herein. As a result, combined billing for physician services is eliminated unless the hospital has approval from Medicare to combine bill the physician and hospital services. Teaching hospitals having Medicare’s approval to receive reasonable cost reimbursement for physician services under 42 CFR 415 as amended to July 1, 2026, are eligible for combined billing status if they have the Medicare approval notice on file with Iowa Medicaid as verification. Reasonable cost settlement will be made during the year-end settlement process. Services provided by certified nurse anesthetists (CRNAs) employed by a physician are covered by the physician reimbursement. Payment for the services of CRNAs employed by the hospital are included in the hospital’s reimbursement.</w:t>
      </w:r>
    </w:p>
    <w:p>
      <w:pPr>
        <w:spacing w:before="0" w:after="0"/>
        <w:ind w:left="120"/>
        <w:jc w:val="both"/>
      </w:pPr>
      <w:r>
        <w:rPr>
          <w:rFonts w:ascii="Times New Roman" w:hAnsi="Times New Roman"/>
          <w:b w:val="false"/>
          <w:i w:val="false"/>
          <w:color w:val="000000"/>
          <w:sz w:val="22"/>
        </w:rPr>
        <w:t>The cost for hospital-based ambulance transportation that results in an inpatient admission and hospital-based ambulance services performed while the recipient is an inpatient, in addition to all other inpatient services, is covered by the DRG payment. If, during the inpatient stay at the originating hospital, it becomes necessary to transport but not transfer the patient to another hospital or provider for treatment, with the patient remaining an inpatient at the originating hospital after that treatment, the originating hospital shall bear all costs incurred by that patient for the medical treatment or the ambulance transportation between the originating hospital and the other provider. The services furnished to the patient by the other provider shall be the responsibility of the originating hospital. Reimbursement to the originating hospital for all services is under the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Inflation factors, rebasing, and recalibration.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Inflation factors will be set annually at levels that ensure payments that are consistent with efficiency, economy, and quality of care and that are sufficient to enlist enough providers so that care and services are available at least to the extent that such care and services are available to the general population in the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Base amounts will be rebased and weights recalibrated in 2021 and every three years thereafter. Cost reports used in rebasing will be the hospital fiscal year-end Form CMS 2552, Hospital and Healthcare Complex Cost Report, as submitted to Medicare in accordance with Medicare cost report submission time lines for the hospital fiscal year ending during the calendar year preceding the rebasing implementation year. If a hospital does not provide this cost report to Iowa Medicaid by May 31 of a rebasing implementation year, the most recent submitted cost report will be used with the addition of a hospital market basket index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graduate medical education and disproportionate share fund will be updated as provided in subparagraphs </w:t>
      </w:r>
      <w:hyperlink r:id="rId118">
        <w:r>
          <w:rPr>
            <w:rStyle w:val="Hyperlink"/>
            <w:rFonts w:ascii="Times New Roman" w:hAnsi="Times New Roman"/>
            <w:b w:val="false"/>
            <w:i w:val="false"/>
            <w:color w:val="000000"/>
            <w:sz w:val="22"/>
          </w:rPr>
          <w:t>79.1(5)</w:t>
        </w:r>
        <w:r>
          <w:rPr>
            <w:rFonts w:ascii="Times New Roman" w:hAnsi="Times New Roman"/>
            <w:b w:val="false"/>
            <w:i/>
            <w:color w:val="000000"/>
            <w:sz w:val="22"/>
          </w:rPr>
          <w:t>“y”</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w:t>
      </w:r>
      <w:r>
        <w:rPr>
          <w:rFonts w:ascii="Times New Roman" w:hAnsi="Times New Roman"/>
          <w:b w:val="false"/>
          <w:i/>
          <w:color w:val="000000"/>
          <w:sz w:val="22"/>
        </w:rPr>
        <w:t>“y”</w:t>
      </w:r>
      <w:r>
        <w:rPr>
          <w:rFonts w:ascii="Times New Roman" w:hAnsi="Times New Roman"/>
          <w:b w:val="false"/>
          <w:i w:val="false"/>
          <w:color w:val="000000"/>
          <w:sz w:val="22"/>
        </w:rPr>
        <w:t xml:space="preserve">(6), and </w:t>
      </w:r>
      <w:r>
        <w:rPr>
          <w:rFonts w:ascii="Times New Roman" w:hAnsi="Times New Roman"/>
          <w:b w:val="false"/>
          <w:i/>
          <w:color w:val="000000"/>
          <w:sz w:val="22"/>
        </w:rPr>
        <w:t>“y”</w:t>
      </w:r>
      <w:r>
        <w:rPr>
          <w:rFonts w:ascii="Times New Roman" w:hAnsi="Times New Roman"/>
          <w:b w:val="false"/>
          <w:i w:val="false"/>
          <w:color w:val="000000"/>
          <w:sz w:val="22"/>
        </w:rPr>
        <w:t>(9).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Hospitals receiving reimbursement as critical access hospitals will not receive inflation of base payment amounts and will not have base amounts rebased or weights recalibrated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Eligibility and payment. </w:t>
      </w:r>
      <w:r>
        <w:rPr>
          <w:rFonts w:ascii="Times New Roman" w:hAnsi="Times New Roman"/>
          <w:b w:val="false"/>
          <w:i w:val="false"/>
          <w:color w:val="000000"/>
          <w:sz w:val="22"/>
        </w:rPr>
        <w:t>When a client is eligible for Medicaid for less than or equal to the average length of stay for that DRG, then payment equals 100 percent of the hospital’s average daily rate times the number of eligible hospital stay days up to the amount of the DRG payment. When a Medicaid client is eligible for greater than the average length of stay but less than the entire stay, then payment is treated as if the client were eligible for the entire length of stay.</w:t>
      </w:r>
    </w:p>
    <w:p>
      <w:pPr>
        <w:spacing w:before="0" w:after="0"/>
        <w:ind w:left="120"/>
        <w:jc w:val="both"/>
      </w:pPr>
      <w:r>
        <w:rPr>
          <w:rFonts w:ascii="Times New Roman" w:hAnsi="Times New Roman"/>
          <w:b w:val="false"/>
          <w:i w:val="false"/>
          <w:color w:val="000000"/>
          <w:sz w:val="22"/>
        </w:rPr>
        <w:t>Long stay outlier days are determined as the number of Medicaid eligible days beyond the outlier limits. The date of patient admission is the first date of service. Long stay outlier costs are accrued only during eligible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Payment to out-of-state hospitals. </w:t>
      </w:r>
      <w:r>
        <w:rPr>
          <w:rFonts w:ascii="Times New Roman" w:hAnsi="Times New Roman"/>
          <w:b w:val="false"/>
          <w:i w:val="false"/>
          <w:color w:val="000000"/>
          <w:sz w:val="22"/>
        </w:rPr>
        <w:t>Payment made to out-of-state hospitals providing care to beneficiaries of Iowa’s Medicaid program is equal to either the Iowa statewide average blended base amount plus the statewide average capital cost add-on, multiplied by the DRG weight, or blended base and capital rates calculated by using 80 percent of the hospital’s submitted capital costs. Hospitals that submit a cost report no later than May 31 in the most recent rebasing year will receive a case-mix-adjusted blended base rate using hospital-specific, Iowa-only Medicaid data and the Iowa statewide average cost per discharge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costs will be reimbursed at either the statewide average rate in place at the time of discharge, or the blended capital rate computed by using submitted cost report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Out-of-state hospitals do not qualify for disproportionate share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hospitals do not qualify for direct medical education or indirect medical education payments pursuant to paragraph </w:t>
      </w:r>
      <w:hyperlink r:id="rId119">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Preadmission, preauthorization, or inappropriate services. </w:t>
      </w:r>
      <w:r>
        <w:rPr>
          <w:rFonts w:ascii="Times New Roman" w:hAnsi="Times New Roman"/>
          <w:b w:val="false"/>
          <w:i w:val="false"/>
          <w:color w:val="000000"/>
          <w:sz w:val="22"/>
        </w:rPr>
        <w:t>Medicaid adopts most Medicare regulations to control increased admissions or reduced services. Exceptions to the Medicare review practice are that Iowa Medicaid reviews short stay outliers and all Medicaid patients readmitted within 31 days. Payment can be denied if either admissions or discharges are performed without medical justification as determined by Iowa Medicaid. Inpatient or outpatient services that require preadmission or preprocedure approval by Iowa Medicaid are updated yearly by the department and are listed in the provider manual. Preauthorization for any of these services is transmitted directly to Iowa Medicaid and no additional information needs to be submitted as part of the claim filing for inpatient or outpatient services. To safeguard against these and other inappropriate practices, the department through Iowa Medicaid will monitor admission practices and quality of care. If an abuse of the prospective payment system is identified, payments for abusive practices may be reduced or denied. In reducing or denying payment, Medicaid adopts the Medicare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Hospital billing. </w:t>
      </w:r>
      <w:r>
        <w:rPr>
          <w:rFonts w:ascii="Times New Roman" w:hAnsi="Times New Roman"/>
          <w:b w:val="false"/>
          <w:i w:val="false"/>
          <w:color w:val="000000"/>
          <w:sz w:val="22"/>
        </w:rPr>
        <w:t>Hospitals shall normally submit claims for DRG reimbursement to Iowa Medicaid after a patient’s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outlier days or costs is determined when the claim is paid by Iowa Medicaid as described in paragraph </w:t>
      </w:r>
      <w:hyperlink r:id="rId120">
        <w:r>
          <w:rPr>
            <w:rStyle w:val="Hyperlink"/>
            <w:rFonts w:ascii="Times New Roman" w:hAnsi="Times New Roman"/>
            <w:b w:val="false"/>
            <w:i w:val="false"/>
            <w:color w:val="000000"/>
            <w:sz w:val="22"/>
          </w:rPr>
          <w:t>79.1(5)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Medicaid patient requires acute care in the same facility for a period of no less than 120 days, a request for partial payment may be made. Written requests for this interim DRG payment shall be addressed to Iowa Medicaid at the department’s address. A request for interim payment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name, state identification number, and date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current listing of charges;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physician’s attestation that the recipient has been an inpatient for 120 days and is expected to remain in the hospital for a period of no less than 60 additional days.</w:t>
      </w:r>
    </w:p>
    <w:p>
      <w:pPr>
        <w:spacing w:before="0" w:after="0"/>
        <w:ind w:left="120"/>
        <w:jc w:val="both"/>
      </w:pPr>
      <w:r>
        <w:rPr>
          <w:rFonts w:ascii="Times New Roman" w:hAnsi="Times New Roman"/>
          <w:b w:val="false"/>
          <w:i w:val="false"/>
          <w:color w:val="000000"/>
          <w:sz w:val="22"/>
        </w:rPr>
        <w:t>A departmental representative will then contact the facility to assist the facility in filing the interim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inpatient admission. </w:t>
      </w:r>
      <w:r>
        <w:rPr>
          <w:rFonts w:ascii="Times New Roman" w:hAnsi="Times New Roman"/>
          <w:b w:val="false"/>
          <w:i w:val="false"/>
          <w:color w:val="000000"/>
          <w:sz w:val="22"/>
        </w:rPr>
        <w:t>A person is considered to be an inpatient when a formal inpatient admission occurs, when a physician intends to admit a person as an inpatient, or when a physician determines that a person being observed as an outpatient in an observation or holding bed should be admitted to the hospital as an inpatient.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cases involving outpatient observation status, the determinant of patient status is not the length of time the patient was being observed, but rather that the observation period was medically necessary for the physician to determine whether a patient should be released from the hospital or admitted to the hospital as an inpatient.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Outpatient observation lasting greater than a 24-hour period will be subject to review by Iowa Medicaid to determine the medical necessity of each case. For those outpatient observation cases where medical necessity is not established by Iowa Medicaid, reimbursement will be denied for the services found to be unnecessary for the provision of that care, such as the use of the observation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Inpatient admission after outpatient services. </w:t>
      </w:r>
      <w:r>
        <w:rPr>
          <w:rFonts w:ascii="Times New Roman" w:hAnsi="Times New Roman"/>
          <w:b w:val="false"/>
          <w:i w:val="false"/>
          <w:color w:val="000000"/>
          <w:sz w:val="22"/>
        </w:rPr>
        <w:t>A patient may be admitted to the hospital as an inpatient after receiving outpatient services. If the patient is admitted as an inpatient within three days of the day outpatient services were rendered, all outpatient services related to the principal diagnosis are considered inpatient services for billing purposes. The day of formal admission as an inpatient is considered as the first day of hospital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reimbursement as a special unit or physical rehabilitation hospital. </w:t>
      </w:r>
      <w:r>
        <w:rPr>
          <w:rFonts w:ascii="Times New Roman" w:hAnsi="Times New Roman"/>
          <w:b w:val="false"/>
          <w:i w:val="false"/>
          <w:color w:val="000000"/>
          <w:sz w:val="22"/>
        </w:rPr>
        <w:t xml:space="preserve">Certification for Medicaid reimbursement as a substance abuse unit under subparagraph </w:t>
      </w:r>
      <w:hyperlink r:id="rId121">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 neonatal intensive care unit under subparagraph </w:t>
      </w:r>
      <w:hyperlink r:id="rId122">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 psychiatric unit under paragraph </w:t>
      </w:r>
      <w:hyperlink r:id="rId123">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or a physical rehabilitation hospital or unit under paragraph </w:t>
      </w:r>
      <w:hyperlink r:id="rId124">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will be awarded as provided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procedure. All hospital special units and physical rehabilitation hospitals must be certified by Iowa Medicaid to qualify for Medicaid reimbursement as a special unit or physical rehabilitation hospital. Hospitals shall submit requests for certification to Iowa Medicaid at the department’s address, with documentation that the certification requirements are met. Iowa Medicaid will notify the facility of any additional documentation needed after review of the submitted documentation.</w:t>
      </w:r>
    </w:p>
    <w:p>
      <w:pPr>
        <w:spacing w:before="0" w:after="0"/>
        <w:ind w:left="120"/>
        <w:jc w:val="both"/>
      </w:pPr>
      <w:r>
        <w:rPr>
          <w:rFonts w:ascii="Times New Roman" w:hAnsi="Times New Roman"/>
          <w:b w:val="false"/>
          <w:i w:val="false"/>
          <w:color w:val="000000"/>
          <w:sz w:val="22"/>
        </w:rPr>
        <w:t>Upon certification, reimbursement as a special unit or physical rehabilitation hospital will be retroactive to the first day of the month during which Iowa Medicaid received the request for certification. No additional retroactive payment adjustment will be made when a hospital fails to make a timely request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substance abuse units. An in-state substance abuse unit may be certified for Medicaid reimbursement under subparagraph </w:t>
      </w:r>
      <w:hyperlink r:id="rId125">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if the unit’s program is licensed by the department as a substance abuse treatment program in accordance with Iowa Code chapter </w:t>
      </w:r>
      <w:hyperlink r:id="rId126">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In addition to documentation of the license, an in-state hospital must submit documentation of the specific substance abuse programs available at the facility with a description of their staffing, treatment standards, and population served.</w:t>
      </w:r>
    </w:p>
    <w:p>
      <w:pPr>
        <w:spacing w:before="0" w:after="0"/>
        <w:ind w:left="120"/>
        <w:jc w:val="both"/>
      </w:pPr>
      <w:r>
        <w:rPr>
          <w:rFonts w:ascii="Times New Roman" w:hAnsi="Times New Roman"/>
          <w:b w:val="false"/>
          <w:i w:val="false"/>
          <w:color w:val="000000"/>
          <w:sz w:val="22"/>
        </w:rPr>
        <w:t xml:space="preserve">An out-of-state substance abuse unit may be certified for Medicaid reimbursement under subparagraph </w:t>
      </w:r>
      <w:hyperlink r:id="rId127">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if it is excluded from the Medicare prospective payment system as a psychiatric unit pursuant to 42 CFR Sections 412.25 and </w:t>
      </w:r>
      <w:hyperlink r:id="rId128">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as amended to July 1, 2026. An out-of-state hospital requesting reimbursement as a substance abuse unit must initially submit a copy of its current Medicare prospective payment system exemption notice unless the facility had certification for reimbursement as a substance abuse unit before July 1, 1993. All out-of-state hospitals certified for reimbursement for substance abuse units must submit copies of new Medicare prospective payment system exemption notices as they are issued,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neonatal intensive care units. A neonatal intensive care unit may be certified for Medicaid reimbursement under subparagraph </w:t>
      </w:r>
      <w:hyperlink r:id="rId129">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if it is certified as a level II or level III neonatal unit and the hospital where it is located is accredited by the Joint Commission or the American Osteopathic Association. Iowa Medicaid will verify the unit’s certification as a level II or level III neonatal unit in accordance with recommendations set forth by the American Academy of Pediatrics for newborn care. Neonatal units in Iowa shall be certified by the department pursuant to </w:t>
      </w:r>
      <w:hyperlink r:id="rId130">
        <w:r>
          <w:rPr>
            <w:rStyle w:val="Hyperlink"/>
            <w:rFonts w:ascii="Times New Roman" w:hAnsi="Times New Roman"/>
            <w:b w:val="false"/>
            <w:i w:val="false"/>
            <w:color w:val="000000"/>
            <w:sz w:val="22"/>
          </w:rPr>
          <w:t>641—Chapter 150</w:t>
        </w:r>
      </w:hyperlink>
      <w:r>
        <w:rPr>
          <w:rFonts w:ascii="Times New Roman" w:hAnsi="Times New Roman"/>
          <w:b w:val="false"/>
          <w:i w:val="false"/>
          <w:color w:val="000000"/>
          <w:sz w:val="22"/>
        </w:rPr>
        <w:t>. Out-of-state units shall submit proof of level II or level III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psychiatric units. A psychiatric unit may be certified for Medicaid reimbursement under paragraph </w:t>
      </w:r>
      <w:hyperlink r:id="rId131">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if it is excluded from the Medicare prospective payment system as a psychiatric unit pursuant to 42 CFR Sections 412.25 and </w:t>
      </w:r>
      <w:hyperlink r:id="rId132">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physical rehabilitation hospitals and units. A physical rehabilitation hospital or unit may be certified for Medicaid reimbursement under paragraph </w:t>
      </w:r>
      <w:hyperlink r:id="rId133">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if the physical rehabilitation hospital or unit receives or qualifies to receive Medicare reimbursement as a rehabilitative hospital or unit pursuant to 42 CFR Subpart P as amended to July 1, 2026, and the hospital is accredited by the Joint Commission or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Health care access assessment inflation factor. </w:t>
      </w:r>
      <w:r>
        <w:rPr>
          <w:rFonts w:ascii="Times New Roman" w:hAnsi="Times New Roman"/>
          <w:b w:val="false"/>
          <w:i w:val="false"/>
          <w:color w:val="000000"/>
          <w:sz w:val="22"/>
        </w:rPr>
        <w:t xml:space="preserve">Effective with the implementation of the health care access assessment paid pursuant to </w:t>
      </w:r>
      <w:hyperlink r:id="rId134">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a health care access assessment inflation factor will be applied to the Medicaid DRG blended base amount as otherwise calculated pursuant to this subrule for all “participating hospitals” as defined in </w:t>
      </w:r>
      <w:hyperlink r:id="rId135">
        <w:r>
          <w:rPr>
            <w:rStyle w:val="Hyperlink"/>
            <w:rFonts w:ascii="Times New Roman" w:hAnsi="Times New Roman"/>
            <w:b w:val="false"/>
            <w:i w:val="false"/>
            <w:color w:val="000000"/>
            <w:sz w:val="22"/>
          </w:rPr>
          <w:t>441—subrule 36.5(1)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Calculation of inflation factor. The health care access assessment inflation factor for participating hospitals will be calculated by dividing the amount allowed under the Medicare inpatient upper payment limit for the fiscal year beginning July 1, 2010, by the sum of the projected expenditures for participating hospitals for the fiscal year beginning July 1, 2010, as determined by the department, and the amount allowed under the Medicare inpatient upper payment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date. The health care access assessment inflation factor will not be applied until federal financial participation to match money collected from the health care access assessment pursuant to </w:t>
      </w:r>
      <w:hyperlink r:id="rId136">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has been approved by the federal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End date. Application of the health care access assessment inflation factor will terminate if the health care access assessment is terminated. If federal match money is unavailable for a retroactive period or the authority to collect the assessment is rescinded for a retroactive period,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Recalculate Medicaid rates in effect during that period without the application of the health care access assessment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Recompute Medicaid payments due based on the recalculated Medicaid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Recoup any previous overpayments;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for each hospital the amount of health care access assessment collected during that period and refund that amount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color w:val="000000"/>
          <w:sz w:val="22"/>
        </w:rPr>
        <w:t xml:space="preserve">Limitations and application of limitations on payment. </w:t>
      </w:r>
      <w:r>
        <w:rPr>
          <w:rFonts w:ascii="Times New Roman" w:hAnsi="Times New Roman"/>
          <w:b w:val="false"/>
          <w:i w:val="false"/>
          <w:color w:val="000000"/>
          <w:sz w:val="22"/>
        </w:rPr>
        <w:t xml:space="preserve">Diagnosis-related group payments are subject to the upper payment limits as stated in </w:t>
      </w:r>
      <w:r>
        <w:rPr>
          <w:rFonts w:ascii="Times New Roman" w:hAnsi="Times New Roman"/>
          <w:b w:val="false"/>
          <w:i w:val="false"/>
          <w:color w:val="000000"/>
          <w:sz w:val="22"/>
        </w:rPr>
        <w:t>42 CFR 447.271</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447.272</w:t>
      </w:r>
      <w:r>
        <w:rPr>
          <w:rFonts w:ascii="Times New Roman" w:hAnsi="Times New Roman"/>
          <w:b w:val="false"/>
          <w:i w:val="false"/>
          <w:color w:val="000000"/>
          <w:sz w:val="22"/>
        </w:rPr>
        <w:t>, both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not pay a provider more for inpatient hospital services under Medicaid than the provider’s customary charges to the general public for the services. This limit is applied in the aggregate during the cost settlement process at the end of the hospital’s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Aggregate payments to hospitals and state-operated hospitals may not exceed the amount that can reasonably be estimated would have been paid for those services under Medicare payment principles. This limit is applied to aggregate Medicaid payments at the end of the state’s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State-owned teaching hospital disproportionate share payment. </w:t>
      </w:r>
      <w:r>
        <w:rPr>
          <w:rFonts w:ascii="Times New Roman" w:hAnsi="Times New Roman"/>
          <w:b w:val="false"/>
          <w:i w:val="false"/>
          <w:color w:val="000000"/>
          <w:sz w:val="22"/>
        </w:rPr>
        <w:t xml:space="preserve">In addition to payments from the graduate medical education and disproportionate share fund made pursuant to paragraph </w:t>
      </w:r>
      <w:hyperlink r:id="rId137">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payment will be made to Iowa hospitals qualifying for the Iowa state-owned teaching hospital disproportionate share fund. Interim monthly payments based on estimated allowable costs will be paid to qualifying hospitals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criteria. A hospital qualifies for Iowa state-owned teaching hospital disproportionate share payments if it qualifies for disproportionate share payments pursuant to paragraph </w:t>
      </w:r>
      <w:hyperlink r:id="rId138">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is an Iowa state-owned hospital with more than 500 beds and eight or more distinct residency specialty or subspecialty programs recognized by the American Council on Graduate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to fund. The total amount of funding that is allocated on July 1 of each year to the Iowa state-owned teaching hospital disproportionate share fund is $0.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 of payment. The total amount of disproportionate share payments from the graduate medical education and disproportionate share fund and from the Iowa state-owned teaching hospital disproportionate share fund shall not exceed the amount of the state’s allotment under Public Law 102-234 as amended to July 1, 2026. In addition, the total amount of all disproportionate share payments shall not exceed the hospital-specific disproportionate share limits under Public Law 103-666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disproportionate share adjustment. The department’s total year-end disproportionate share obligations to a qualifying hospital will be calculated following completion of the desk review or audit of CMS 2552, Hospital and Healthcare Complex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Non-state-owned teaching hospital disproportionate share payment. </w:t>
      </w:r>
      <w:r>
        <w:rPr>
          <w:rFonts w:ascii="Times New Roman" w:hAnsi="Times New Roman"/>
          <w:b w:val="false"/>
          <w:i w:val="false"/>
          <w:color w:val="000000"/>
          <w:sz w:val="22"/>
        </w:rPr>
        <w:t xml:space="preserve">In addition to payments from the graduate medical education and disproportionate share fund made pursuant to paragraph </w:t>
      </w:r>
      <w:hyperlink r:id="rId139">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payment will be made to Iowa hospitals qualifying for Iowa non-state-government-owned acute care teaching hospital disproportionate share payments. Interim monthly payments based on estimated allowable costs will be paid to qualifying hospitals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criteria. A hospital qualifies for the Iowa non-state-government-owned acute care teaching hospital disproportionate share payments if it qualifies for disproportionate share payments pursuant to paragraph </w:t>
      </w:r>
      <w:hyperlink r:id="rId140">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is an Iowa non-state-government-owned acute care teaching hospital located in a county with a population over 350,000.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payment. The total amount of disproportionate share payments pursuant to paragraph </w:t>
      </w:r>
      <w:hyperlink r:id="rId141">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the Iowa non-state-government-owned acute care teaching hospital disproportionate share payments will not exceed the amount of the state’s allotment under Public Law 102-234 as amended to July 1, 2026. In addition, the total amount of all disproportionate share payments will not exceed the hospital-specific disproportionate share limits under Public Law 103-666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disproportionate share adjustment. The department’s total year-end disproportionate share obligations to a qualifying hospital will be calculated following completion of the desk review or audit of CMS 2552, Hospital and Healthcare Complex Cost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color w:val="000000"/>
          <w:sz w:val="22"/>
        </w:rPr>
        <w:t xml:space="preserve">Rate adjustments for hospital mergers. </w:t>
      </w:r>
      <w:r>
        <w:rPr>
          <w:rFonts w:ascii="Times New Roman" w:hAnsi="Times New Roman"/>
          <w:b w:val="false"/>
          <w:i w:val="false"/>
          <w:color w:val="000000"/>
          <w:sz w:val="22"/>
        </w:rPr>
        <w:t>When one or more hospitals merge to form a distinctly different legal entity, the base rate plus applicable add-ons will be revised to reflect this new entity. Financial information from the original cost reports and original rate calculations will be added together and averaged to form the new rate for that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Reportable Medicaid administrative and general expenses are allowable only to the extent that they are defined as allowable using Medicare Reimbursement Principles or Health Insurance Reimbursement Manual 15 (HIM-15) as amended to July 1, 2026. Appropriate, reportable costs are those that meet the Medicare (or HIM-15) principles, are reasonable, and are directly related to patient care. In instances where costs are not directly related to patient care or are not in accord with Medicare Principles of Reimbursement, inclusion of those costs in the cost report would not be appropriate. Examples of administrative and general costs that must be related to patient care to be included as a reportable cost in the report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Promotional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Feasibility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Administrative travel and entertainment.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Dues, subscriptions, or membership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Contributions made to other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Home office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Public relations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patient convenience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Management fees for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Luxury employee benefits (i.e., country club dues).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Motor vehicles for other than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Reorganization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color w:val="000000"/>
          <w:sz w:val="22"/>
        </w:rPr>
        <w:t xml:space="preserve">Graduate medical education and disproportionate share fund. </w:t>
      </w:r>
      <w:r>
        <w:rPr>
          <w:rFonts w:ascii="Times New Roman" w:hAnsi="Times New Roman"/>
          <w:b w:val="false"/>
          <w:i w:val="false"/>
          <w:color w:val="000000"/>
          <w:sz w:val="22"/>
        </w:rPr>
        <w:t>Payment will be made to hospitals in Iowa qualifying for direct medical education, indirect medical education, or disproportionate share payments directly from the graduate medical education and disproportionate share fund. The requirements to receive payments from the fund, the amounts allocated to the fund, and the methodology used to determine the distribution amounts from the fund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Qualifying for direct medical education. Iowa hospitals qualify for direct medical education payments if direct medical education costs that qualify for payment as medical education costs under the Medicare program are contained in the hospital’s base year cost report and in the most recent cost report submitted before the start of the state fiscal year for which payments are being made. Out-of-state hospitals do not qualify for direct medical education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direct medical education. The total state fiscal year annual amount of funding that is allocated to the graduate medical education and disproportionate share fund for direct medical education related to inpatient services is $7,594,294.03. If a hospital fails to qualify for 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direct medical education. Distribution of the amount in the fund for direct medical education will be on a monthly basis. To determine the amount to be distributed to each qualifying hospital for direct medical education, the following formula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total of all DRG weights pursuant to paragraph </w:t>
      </w:r>
      <w:hyperlink r:id="rId142">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for claims paid from the GME/DSH fund apportionment claim set for each hospital reporting direct medical education costs that qualify for payment as medical education costs under the Medicare program in the hospital’s base year cost report by each hospital’s direct medical education rate to obtain a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Multiply each hospital’s percentage by the amount allocated for direct medical education to determine the payment to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Qualifying for indirect medical education. Iowa hospitals qualify for indirect medical education payments from the fund when they receive a direct medical education payment from Iowa Medicaid and qualify for indirect medical education payments from Medicare. Qualification for indirect medical education payments is determined without regard to the individual components of the specific hospital’s teaching program, state ownership, or bed size. Out-of-state hospitals do not qualify for indirect medical education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indirect medical education. The total state fiscal year annual amount of funding that is allocated to the graduate medical education and disproportionate share fund for indirect medical education related to inpatient services is $13,450,285.14. If a hospital fails to qualify for indirect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indirect medical education. Distribution of the amount in the fund for indirect medical education will be on a monthly basis. To determine the amount to be distributed to each qualifying hospital for indirect medical education, the following formula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total of all DRG weights, pursuant to paragraph </w:t>
      </w:r>
      <w:hyperlink r:id="rId143">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for claims paid from the GME/DSH fund apportionment claim set for each hospital reporting direct medical education costs that qualify for payment as medical education costs under the Medicare program in the hospital’s base year cost report by each hospital’s indirect medical education rate to obtain a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Multiply each hospital’s percentage by the amount allocated for indirect medical education to determine the payment to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for disproportionate share. Hospitals qualify for disproportionate share payments from the fund when the hospital’s low-income utilization rate exceeds 25 percent, when the hospital’s Medicaid inpatient utilization rate exceeds one standard deviation from the statewide average Medicaid utilization rate, or when the hospital qualifies as a children’s hospital under subparagraph </w:t>
      </w:r>
      <w:hyperlink r:id="rId144">
        <w:r>
          <w:rPr>
            <w:rStyle w:val="Hyperlink"/>
            <w:rFonts w:ascii="Times New Roman" w:hAnsi="Times New Roman"/>
            <w:b w:val="false"/>
            <w:i w:val="false"/>
            <w:color w:val="000000"/>
            <w:sz w:val="22"/>
          </w:rPr>
          <w:t>79.5(1)</w:t>
        </w:r>
      </w:hyperlink>
      <w:r>
        <w:rPr>
          <w:rFonts w:ascii="Times New Roman" w:hAnsi="Times New Roman"/>
          <w:b w:val="false"/>
          <w:i/>
          <w:color w:val="000000"/>
          <w:sz w:val="22"/>
        </w:rPr>
        <w:t>“y”</w:t>
      </w:r>
      <w:r>
        <w:rPr>
          <w:rFonts w:ascii="Times New Roman" w:hAnsi="Times New Roman"/>
          <w:b w:val="false"/>
          <w:i w:val="false"/>
          <w:color w:val="000000"/>
          <w:sz w:val="22"/>
        </w:rPr>
        <w:t>(10). Information contained in the hospital’s base year cost report is used to determine the hospital’s low-income utilization rate and the hospital’s Medicaid inpatient utilization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those hospitals that qualify for disproportionate share under both the low-income utilization rate definition and the Medicaid inpatient utilization rate definition, the disproportionate share percentage will be the greater of (1) the product of 2½ percent multiplied by the number of standard deviations by which the hospital’s own Medicaid inpatient utilization rate exceeds the statewide mean Medicaid inpatient utilization rate for all hospitals or (2) 2 ½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those hospitals that qualify for disproportionate share under the low-income utilization rate definition but do not qualify under the Medicaid inpatient utilization rate definition, the disproportionate share percentage will be 2½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those hospitals that qualify for disproportionate share under the Medicaid inpatient utilization rate definition but do not qualify under the low-income utilization rate definition, the disproportionate share percentage will be the product of 2½ percent multiplied by the number of standard deviations by which the hospital’s own Medicaid inpatient utilization rate exceeds the statewide mean Medicaid inpatient utilization rate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those hospitals that qualify for disproportionate share as a children’s hospital, the disproportionate share percentage will be the greater of (1) the product of 2½ percent multiplied by the number of standard deviations by which the Medicaid inpatient utilization rate for children under 18 years of age at the time of admission in all areas of the hospital where services are provided predominantly to children under 18 years of age exceeds the statewide mean Medicaid inpatient utilization rate for all hospitals or (2) 2½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Additionally, a qualifying hospital other than a children’s hospital must also have at least two obstetricians who have staff privileges at the hospital and who have agreed to provide obstetric services to Medicaid-eligible persons who are in need of obstetric services. In the case of a hospital located in a rural area as defined in </w:t>
      </w:r>
      <w:r>
        <w:rPr>
          <w:rFonts w:ascii="Times New Roman" w:hAnsi="Times New Roman"/>
          <w:b w:val="false"/>
          <w:i w:val="false"/>
          <w:color w:val="000000"/>
          <w:sz w:val="22"/>
        </w:rPr>
        <w:t>Section 1886 of the Social Security Act</w:t>
      </w:r>
      <w:r>
        <w:rPr>
          <w:rFonts w:ascii="Times New Roman" w:hAnsi="Times New Roman"/>
          <w:b w:val="false"/>
          <w:i w:val="false"/>
          <w:color w:val="000000"/>
          <w:sz w:val="22"/>
        </w:rPr>
        <w:t xml:space="preserve"> as amended to July 1, 2026, the term “obstetrician” includes any physician with staff privileges at the hospital to perform nonemergency obstetric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Out-of-state hospitals serving Iowa Medicaid patients qualify for disproportionate share payments from the fund based on their state Medicaid agency’s calculation of the Medicaid inpatient utilization rate. The disproportionate share percentage is calculated using the number of standard deviations by which the hospital’s own state Medicaid inpatient utilization rate exceeds the hospital’s own statewide mean Medicaid inpatient utilization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Hospitals qualify for disproportionate share payments from the fund without regard to the facility’s status as a teaching facility or bed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Hospitals receiving reimbursement as critical access hospitals do not qualify for disproportionate share payments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disproportionate share. The total state fiscal year annual amount of funding that is allocated to the graduate medical education and disproportionate share fund for disproportionate share payments is $6,959,868.59. If a hospital fails to qualify for disproportionate share payments from the fund due to closure or for any other reason, the amount of money that would have been paid to that hospital will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disproportionate share. Distribution of the amount in the fund for disproportionate share will be on a monthly basis. To determine the amount to be distributed to each qualifying hospital for disproportionate share, the following formula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total of all DRG weights, pursuant to paragraph </w:t>
      </w:r>
      <w:hyperlink r:id="rId145">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for claims paid from the GME/DSH fund apportionment claim set for each hospital that met the qualifications during the fiscal year used to determine the hospital’s low-income utilization rate and Medicaid utilization rate (or for children’s hospitals, during the preceding state fiscal year) by each hospital’s disproportionate share rate to obtain a dollar value. For any hospital that qualifies for a disproportionate share payment only as a children’s hospital, only the DRG weights, pursuant to </w:t>
      </w:r>
      <w:hyperlink r:id="rId146">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for services rendered to patients under 18 years of age at the time of admission in all distinct areas of the hospital where services are provided predominantly to children under 18 years of age will be used in this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Multiply each hospital’s percentage by the amount allocated for disproportionate share to determine the payment to each hospital.</w:t>
      </w:r>
    </w:p>
    <w:p>
      <w:pPr>
        <w:spacing w:before="0" w:after="0"/>
        <w:ind w:left="120"/>
        <w:jc w:val="both"/>
      </w:pPr>
      <w:r>
        <w:rPr>
          <w:rFonts w:ascii="Times New Roman" w:hAnsi="Times New Roman"/>
          <w:b w:val="false"/>
          <w:i w:val="false"/>
          <w:color w:val="000000"/>
          <w:sz w:val="22"/>
        </w:rPr>
        <w:t xml:space="preserve">In compliance with Medicaid Voluntary Contribution and Provider-Specific Tax Amendments of 1991 (Public Law 102-234 as amended to July 1, 2026) and </w:t>
      </w:r>
      <w:r>
        <w:rPr>
          <w:rFonts w:ascii="Times New Roman" w:hAnsi="Times New Roman"/>
          <w:b w:val="false"/>
          <w:i w:val="false"/>
          <w:color w:val="000000"/>
          <w:sz w:val="22"/>
        </w:rPr>
        <w:t>1992 Iowa Acts, chapter 1246</w:t>
      </w:r>
      <w:r>
        <w:rPr>
          <w:rFonts w:ascii="Times New Roman" w:hAnsi="Times New Roman"/>
          <w:b w:val="false"/>
          <w:i w:val="false"/>
          <w:color w:val="000000"/>
          <w:sz w:val="22"/>
        </w:rPr>
        <w:t xml:space="preserve">, section 13, the total of disproportionate share payments from the GME/DSH fund and supplemental disproportionate share of payments, pursuant to paragraph </w:t>
      </w:r>
      <w:hyperlink r:id="rId147">
        <w:r>
          <w:rPr>
            <w:rStyle w:val="Hyperlink"/>
            <w:rFonts w:ascii="Times New Roman" w:hAnsi="Times New Roman"/>
            <w:b w:val="false"/>
            <w:i w:val="false"/>
            <w:color w:val="000000"/>
            <w:sz w:val="22"/>
          </w:rPr>
          <w:t>79.1(5)</w:t>
        </w:r>
        <w:r>
          <w:rPr>
            <w:rFonts w:ascii="Times New Roman" w:hAnsi="Times New Roman"/>
            <w:b w:val="false"/>
            <w:i/>
            <w:color w:val="000000"/>
            <w:sz w:val="22"/>
          </w:rPr>
          <w:t>“u”</w:t>
        </w:r>
      </w:hyperlink>
      <w:r>
        <w:rPr>
          <w:rFonts w:ascii="Times New Roman" w:hAnsi="Times New Roman"/>
          <w:b w:val="false"/>
          <w:i w:val="false"/>
          <w:color w:val="000000"/>
          <w:sz w:val="22"/>
        </w:rPr>
        <w:t xml:space="preserve"> or </w:t>
      </w:r>
      <w:hyperlink r:id="rId148">
        <w:r>
          <w:rPr>
            <w:rStyle w:val="Hyperlink"/>
            <w:rFonts w:ascii="Times New Roman" w:hAnsi="Times New Roman"/>
            <w:b w:val="false"/>
            <w:i w:val="false"/>
            <w:color w:val="000000"/>
            <w:sz w:val="22"/>
          </w:rPr>
          <w:t>79.1(5)</w:t>
        </w:r>
        <w:r>
          <w:rPr>
            <w:rFonts w:ascii="Times New Roman" w:hAnsi="Times New Roman"/>
            <w:b w:val="false"/>
            <w:i/>
            <w:color w:val="000000"/>
            <w:sz w:val="22"/>
          </w:rPr>
          <w:t>“v,”</w:t>
        </w:r>
      </w:hyperlink>
      <w:r>
        <w:rPr>
          <w:rFonts w:ascii="Times New Roman" w:hAnsi="Times New Roman"/>
          <w:b w:val="false"/>
          <w:i w:val="false"/>
          <w:color w:val="000000"/>
          <w:sz w:val="22"/>
        </w:rPr>
        <w:t xml:space="preserve"> cannot exceed the amount of the federal cap under Public Law 102-234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Qualifying for disproportionate share as a children’s hospital. A licensed hospital qualifies for disproportionate share payments as a children’s hospital if the hospital provides services predominantly to children under 18 years of age or includes a distinct area or areas providing services predominantly to children under 18 years of age and has Medicaid utilization and low-income utilization rates of 1 percent or greater for children under 18 years of age at the time of admission in all distinct areas of the hospital where services are provided predominantly to children under 18 years of age. In addition, the hospital must be a voting member of the National Association of Children’s Hospitals and Related Institutions for dates of service prior to October 1, 2014, or a member of the National Association of Children’s Hospitals and Related Institutions.</w:t>
      </w:r>
    </w:p>
    <w:p>
      <w:pPr>
        <w:spacing w:before="0" w:after="0"/>
        <w:ind w:left="120"/>
        <w:jc w:val="both"/>
      </w:pPr>
      <w:r>
        <w:rPr>
          <w:rFonts w:ascii="Times New Roman" w:hAnsi="Times New Roman"/>
          <w:b w:val="false"/>
          <w:i w:val="false"/>
          <w:color w:val="000000"/>
          <w:sz w:val="22"/>
        </w:rPr>
        <w:t>A hospital wishing to qualify for disproportionate share payments as a children’s hospital must provide the following information to Iowa Medicaid within 20 business days of a request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 year cost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Medicaid claims data for children under the age of 18 at the time of admission to the hospital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needed to determine a disproportionate share rate encompassing the periods used to determine the disproportionate share rate and distribution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color w:val="000000"/>
          <w:sz w:val="22"/>
        </w:rPr>
        <w:t xml:space="preserve">Retrospective adjustment for critical access hospitals. </w:t>
      </w:r>
      <w:r>
        <w:rPr>
          <w:rFonts w:ascii="Times New Roman" w:hAnsi="Times New Roman"/>
          <w:b w:val="false"/>
          <w:i w:val="false"/>
          <w:color w:val="000000"/>
          <w:sz w:val="22"/>
        </w:rPr>
        <w:t xml:space="preserve">Payments to critical access hospitals, pursuant to paragraphs </w:t>
      </w:r>
      <w:hyperlink r:id="rId149">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“z,”</w:t>
      </w:r>
      <w:r>
        <w:rPr>
          <w:rFonts w:ascii="Times New Roman" w:hAnsi="Times New Roman"/>
          <w:b w:val="false"/>
          <w:i w:val="false"/>
          <w:color w:val="000000"/>
          <w:sz w:val="22"/>
        </w:rPr>
        <w:t xml:space="preserve"> are subject to a retrospective adjustment equal to the difference between the reasonable costs of covered services provided to eligible fee-for-service Medicaid members (excluding members in managed care), based on the hospital’s annual cost reports and Medicare cost principles, and the Medicaid fee-for-service reimbursement received pursuant to paragraphs </w:t>
      </w:r>
      <w:hyperlink r:id="rId150">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“z.”</w:t>
      </w:r>
      <w:r>
        <w:rPr>
          <w:rFonts w:ascii="Times New Roman" w:hAnsi="Times New Roman"/>
          <w:b w:val="false"/>
          <w:i w:val="false"/>
          <w:color w:val="000000"/>
          <w:sz w:val="22"/>
        </w:rPr>
        <w:t xml:space="preserve"> Amounts paid before adjustment that exceed reasonable costs will be recovered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base rate upon which the DRG payment is built will be changed after any retrospective adjustment to reflect, as accurately as is possible, the reasonable costs of providing the covered service to eligible fee-for-service Medicaid members for the coming year using the most recent utilization as submitted to Iowa Medicaid and Medicare cost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hospital begins receiving reimbursement as a critical access hospital, the prospective DRG base rate is not subject to inflation factors, rebasing, or recalibration as provided in paragraph </w:t>
      </w:r>
      <w:hyperlink r:id="rId151">
        <w:r>
          <w:rPr>
            <w:rStyle w:val="Hyperlink"/>
            <w:rFonts w:ascii="Times New Roman" w:hAnsi="Times New Roman"/>
            <w:b w:val="false"/>
            <w:i w:val="false"/>
            <w:color w:val="000000"/>
            <w:sz w:val="22"/>
          </w:rPr>
          <w:t>79.1(5)</w:t>
        </w:r>
        <w:r>
          <w:rPr>
            <w:rFonts w:ascii="Times New Roman" w:hAnsi="Times New Roman"/>
            <w:b w:val="false"/>
            <w:i/>
            <w:color w:val="000000"/>
            <w:sz w:val="22"/>
          </w:rPr>
          <w:t>“k.”</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color w:val="000000"/>
          <w:sz w:val="22"/>
        </w:rPr>
        <w:t xml:space="preserve">Nonpayment for preventable conditions. </w:t>
      </w:r>
      <w:r>
        <w:rPr>
          <w:rFonts w:ascii="Times New Roman" w:hAnsi="Times New Roman"/>
          <w:b w:val="false"/>
          <w:i w:val="false"/>
          <w:color w:val="000000"/>
          <w:sz w:val="22"/>
        </w:rPr>
        <w:t>Preventable conditions identified pursuant to this rule that develop during inpatient hospital treatment will not be considered in determining reimbursement for such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Coding. All diagnoses included on an inpatient hospital claim must include one of the following codes indicating whether the condition was present or developing at the time of the order for inpatient admission:</w:t>
      </w:r>
    </w:p>
    <w:tbl>
      <w:tblPr>
        <w:tblW w:w="0" w:type="auto"/>
        <w:tblCellSpacing w:w="0" w:type="auto"/>
        <w:tblBorders>
          <w:top w:val="none"/>
          <w:left w:val="none"/>
          <w:bottom w:val="none"/>
          <w:right w:val="none"/>
          <w:insideH w:val="none"/>
          <w:insideV w:val="none"/>
        </w:tblBorders>
        <w:tblLayout w:type="fixed"/>
      </w:tblPr>
      <w:tblGrid>
        <w:gridCol w:w="634"/>
        <w:gridCol w:w="10886"/>
      </w:tblGrid>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Present on Admission (POA) Indicator Codes</w:t>
            </w:r>
          </w:p>
        </w:tc>
      </w:tr>
      <w:tr>
        <w:trPr>
          <w:trHeight w:val="255" w:hRule="atLeast"/>
        </w:trPr>
        <w:tc>
          <w:tcPr>
            <w:tcW w:w="6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u w:val="single"/>
              </w:rPr>
              <w:t>Code</w:t>
            </w:r>
          </w:p>
        </w:tc>
        <w:tc>
          <w:tcPr>
            <w:tcW w:w="108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u w:val="single"/>
              </w:rPr>
              <w:t>Explanation</w:t>
            </w:r>
          </w:p>
        </w:tc>
      </w:tr>
      <w:tr>
        <w:trPr>
          <w:trHeight w:val="255" w:hRule="atLeast"/>
        </w:trPr>
        <w:tc>
          <w:tcPr>
            <w:tcW w:w="6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Y</w:t>
            </w:r>
          </w:p>
        </w:tc>
        <w:tc>
          <w:tcPr>
            <w:tcW w:w="10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 condition was present or developing at the time of the order for inpatient admission.</w:t>
            </w:r>
          </w:p>
        </w:tc>
      </w:tr>
      <w:tr>
        <w:trPr>
          <w:trHeight w:val="255" w:hRule="atLeast"/>
        </w:trPr>
        <w:tc>
          <w:tcPr>
            <w:tcW w:w="6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N</w:t>
            </w:r>
          </w:p>
        </w:tc>
        <w:tc>
          <w:tcPr>
            <w:tcW w:w="10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 condition was not present or developing at the time of the order for inpatient admission.</w:t>
            </w:r>
          </w:p>
        </w:tc>
      </w:tr>
      <w:tr>
        <w:trPr>
          <w:trHeight w:val="480" w:hRule="atLeast"/>
        </w:trPr>
        <w:tc>
          <w:tcPr>
            <w:tcW w:w="6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w:t>
            </w:r>
          </w:p>
        </w:tc>
        <w:tc>
          <w:tcPr>
            <w:tcW w:w="10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Documentation is insufficient to determine whether the condition was present or developing at the time of the order for inpatient admission.</w:t>
            </w:r>
          </w:p>
        </w:tc>
      </w:tr>
      <w:tr>
        <w:trPr>
          <w:trHeight w:val="480" w:hRule="atLeast"/>
        </w:trPr>
        <w:tc>
          <w:tcPr>
            <w:tcW w:w="6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w:t>
            </w:r>
          </w:p>
        </w:tc>
        <w:tc>
          <w:tcPr>
            <w:tcW w:w="10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Clinically undetermined. The provider is clinically unable to determine whether or not the condition was present or developing at the time of the order for inpatient admission.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processing. Claims will be processed according to the DRG methodology without consideration of any diagnosis identified by the Secretary of the United States Department of Health and Human Services, pursuant to </w:t>
      </w:r>
      <w:r>
        <w:rPr>
          <w:rFonts w:ascii="Times New Roman" w:hAnsi="Times New Roman"/>
          <w:b w:val="false"/>
          <w:i w:val="false"/>
          <w:color w:val="000000"/>
          <w:sz w:val="22"/>
        </w:rPr>
        <w:t>Section 1886(d)(4)(D)(iv)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1395w</w:t>
      </w:r>
      <w:r>
        <w:rPr>
          <w:rFonts w:ascii="Times New Roman" w:hAnsi="Times New Roman"/>
          <w:b w:val="false"/>
          <w:i w:val="false"/>
          <w:color w:val="000000"/>
          <w:sz w:val="22"/>
        </w:rPr>
        <w:t>w(d)(4)(D)(iv) as amended to July 1, 2026, if the condition was not present or developing at the time of the order for inpatient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color w:val="000000"/>
          <w:sz w:val="22"/>
        </w:rPr>
        <w:t xml:space="preserve">Rural hospital disproportionate share payment. </w:t>
      </w:r>
      <w:r>
        <w:rPr>
          <w:rFonts w:ascii="Times New Roman" w:hAnsi="Times New Roman"/>
          <w:b w:val="false"/>
          <w:i w:val="false"/>
          <w:color w:val="000000"/>
          <w:sz w:val="22"/>
        </w:rPr>
        <w:t xml:space="preserve">In addition to payments from the graduate medical education and disproportionate share fund made pursuant to paragraph </w:t>
      </w:r>
      <w:hyperlink r:id="rId152">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payment will be made to qualifying Iowa hospitals that elect to participate in rural hospital disproportionate share payments. Interim monthly payments will be made based on the amount of state share that is transferred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criteria. A hospital that qualifies for disproportionate share payments pursuant to paragraph </w:t>
      </w:r>
      <w:hyperlink r:id="rId153">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that is a rural prospective payment hospital not designated as a critical access hospital qualifies for rural hospital disproportionate share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 of nonfederal share. The required nonfederal share will be funds generated from tax levy collections of the county or city in which the hospital is located and is subject to the conditions specified in this subparagraph and applicable federal law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nonfederal share funds shall be distributed to the department prior to the issuance of any disproportionate share payment to a qualifying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city or county providing the nonfederal share funds shall annually document and certify that the funds provided as the nonfederal share were generated from tax proceeds, and not from any other source including federal grants or another federal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federal matching rate for the fiscal year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payment. The total amount of disproportionate share payments made, pursuant to paragraph </w:t>
      </w:r>
      <w:hyperlink r:id="rId154">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the rural hospital disproportionate share payments will not exceed the amount of the state’s allotment under Public Law 102-234 as amended to July 1, 2026. In addition, the total amount of all disproportionate share payments will not exceed the hospital-specific disproportionate share limits under Public Law 103-666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disproportionate share adjustment. Qualifying hospitals shall annually provide a disproportionate share hospital survey within the time frames specified by the department for the purpose of calculating the hospital-specific disproportionate share limits under Public Law 103-666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w:t>
      </w:r>
      <w:r>
        <w:rPr>
          <w:rFonts w:ascii="Times New Roman" w:hAnsi="Times New Roman"/>
          <w:b w:val="false"/>
          <w:i w:val="false"/>
          <w:color w:val="000000"/>
          <w:sz w:val="22"/>
        </w:rPr>
        <w:t> </w:t>
      </w:r>
      <w:r>
        <w:rPr>
          <w:rFonts w:ascii="Times New Roman" w:hAnsi="Times New Roman"/>
          <w:b w:val="false"/>
          <w:i/>
          <w:color w:val="000000"/>
          <w:sz w:val="22"/>
        </w:rPr>
        <w:t xml:space="preserve">Independent laboratories. </w:t>
      </w:r>
      <w:r>
        <w:rPr>
          <w:rFonts w:ascii="Times New Roman" w:hAnsi="Times New Roman"/>
          <w:b w:val="false"/>
          <w:i w:val="false"/>
          <w:color w:val="000000"/>
          <w:sz w:val="22"/>
        </w:rPr>
        <w:t>The maximum payment for clinical diagnostic laboratory tests performed by an independent laboratory will be the areawide fee schedule established by the Centers for Medicare and Medicaid Services (CMS). The fee schedule is based on the definition of laboratory procedures from the Physician’s Current Procedural Terminology (CPT) published by the American Medical Association as amended to July 1, 2026. The fee schedules are adjusted annually by CMS to reflect changes in the Consumer Price Index for All Urban Consumers.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w:t>
      </w:r>
      <w:r>
        <w:rPr>
          <w:rFonts w:ascii="Times New Roman" w:hAnsi="Times New Roman"/>
          <w:b w:val="false"/>
          <w:i w:val="false"/>
          <w:color w:val="000000"/>
          <w:sz w:val="22"/>
        </w:rPr>
        <w:t> </w:t>
      </w:r>
      <w:r>
        <w:rPr>
          <w:rFonts w:ascii="Times New Roman" w:hAnsi="Times New Roman"/>
          <w:b w:val="false"/>
          <w:i/>
          <w:color w:val="000000"/>
          <w:sz w:val="22"/>
        </w:rPr>
        <w:t xml:space="preserve">Physicians.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 xml:space="preserve">The fee schedule is based on the definitions of medical and surgical procedures given in the CPT as amended to July 1, 2026. Refer to </w:t>
      </w:r>
      <w:hyperlink r:id="rId155">
        <w:r>
          <w:rPr>
            <w:rStyle w:val="Hyperlink"/>
            <w:rFonts w:ascii="Times New Roman" w:hAnsi="Times New Roman"/>
            <w:b w:val="false"/>
            <w:i w:val="false"/>
            <w:color w:val="000000"/>
            <w:sz w:val="22"/>
          </w:rPr>
          <w:t>441—paragraph 78.1(2)</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the guidelines for immunization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reduction for services rendered in facility settings. </w:t>
      </w:r>
      <w:r>
        <w:rPr>
          <w:rFonts w:ascii="Times New Roman" w:hAnsi="Times New Roman"/>
          <w:b w:val="false"/>
          <w:i w:val="false"/>
          <w:color w:val="000000"/>
          <w:sz w:val="22"/>
        </w:rPr>
        <w:t xml:space="preserve">The fee schedule amount paid to physicians based on paragraph </w:t>
      </w:r>
      <w:hyperlink r:id="rId156">
        <w:r>
          <w:rPr>
            <w:rStyle w:val="Hyperlink"/>
            <w:rFonts w:ascii="Times New Roman" w:hAnsi="Times New Roman"/>
            <w:b w:val="false"/>
            <w:i w:val="false"/>
            <w:color w:val="000000"/>
            <w:sz w:val="22"/>
          </w:rPr>
          <w:t>79.1(7)</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reduced by an adjustment factor, as determined by the department and published with the Iowa Medicaid fee schedule, to reflect the lower cost of providing physician services in a facility setting as opposed to the physician’s office. For the purpose of this provision, a “facility” place of service (POS) is defined as any of the following (consistent with “POS” definitions under Medicare per the Medicare Claims Processing Manual, Chapter 12, Section 20.4.2,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Telehealth (POS 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Outpatient hospital-off campus (POS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Inpatient hospital (POS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Outpatient hospital-on campus (POS 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Emergency room-hospital (POS 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 (POS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Military treatment center (POS 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Skilled nursing facility (POS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Hospice-for inpatient care (POS 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Ambulance-land (POS 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Ambulance-air or water (POS 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Inpatient psychiatric facility (POS 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Psychiatric facility-partial hospitalization (POS 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 (POS 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Psychiatric residential treatment center (POS 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Comprehensive inpatient rehabilitation (POS 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for primary care services. </w:t>
      </w:r>
      <w:r>
        <w:rPr>
          <w:rFonts w:ascii="Times New Roman" w:hAnsi="Times New Roman"/>
          <w:b w:val="false"/>
          <w:i w:val="false"/>
          <w:color w:val="000000"/>
          <w:sz w:val="22"/>
        </w:rPr>
        <w:t>Primary care services that are eligible for payment, pursuant to this rule, will be paid at the greater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otherwise applicable Iowa Medicaid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applicable rate under Medicare Part B in effect for services rendered on January 1,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 that would be applicable under Medicare Part B, in effect for services rendered on January 1, 2014, if the conversion factor under </w:t>
      </w:r>
      <w:r>
        <w:rPr>
          <w:rFonts w:ascii="Times New Roman" w:hAnsi="Times New Roman"/>
          <w:b w:val="false"/>
          <w:i w:val="false"/>
          <w:color w:val="000000"/>
          <w:sz w:val="22"/>
        </w:rPr>
        <w:t>42 U.S.C. §1395w-4</w:t>
      </w:r>
      <w:r>
        <w:rPr>
          <w:rFonts w:ascii="Times New Roman" w:hAnsi="Times New Roman"/>
          <w:b w:val="false"/>
          <w:i w:val="false"/>
          <w:color w:val="000000"/>
          <w:sz w:val="22"/>
        </w:rPr>
        <w:t>(d) as amended to July 1, 2026, were the conversion factor for 2009;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no applicable rate under Medicare Part B, the rate specified in a fee schedule established and announced by the CMS, pursuant to </w:t>
      </w:r>
      <w:r>
        <w:rPr>
          <w:rFonts w:ascii="Times New Roman" w:hAnsi="Times New Roman"/>
          <w:b w:val="false"/>
          <w:i w:val="false"/>
          <w:color w:val="000000"/>
          <w:sz w:val="22"/>
        </w:rPr>
        <w:t>42 CFR §447.405(a)</w:t>
      </w:r>
      <w:r>
        <w:rPr>
          <w:rFonts w:ascii="Times New Roman" w:hAnsi="Times New Roman"/>
          <w:b w:val="false"/>
          <w:i w:val="false"/>
          <w:color w:val="000000"/>
          <w:sz w:val="22"/>
        </w:rPr>
        <w:t>(1), and in effect on June 30, 2014.</w:t>
      </w:r>
    </w:p>
    <w:p>
      <w:pPr>
        <w:spacing w:before="0" w:after="0"/>
        <w:ind w:left="120"/>
        <w:jc w:val="both"/>
      </w:pPr>
      <w:r>
        <w:rPr>
          <w:rFonts w:ascii="Times New Roman" w:hAnsi="Times New Roman"/>
          <w:b w:val="false"/>
          <w:i w:val="false"/>
          <w:color w:val="000000"/>
          <w:sz w:val="22"/>
        </w:rPr>
        <w:t>Notwithstanding the foregoing provisions of this paragraph (</w:t>
      </w:r>
      <w:hyperlink r:id="rId157">
        <w:r>
          <w:rPr>
            <w:rStyle w:val="Hyperlink"/>
            <w:rFonts w:ascii="Times New Roman" w:hAnsi="Times New Roman"/>
            <w:b w:val="false"/>
            <w:i w:val="false"/>
            <w:color w:val="000000"/>
            <w:sz w:val="22"/>
          </w:rPr>
          <w:t>79.1(7)</w:t>
        </w:r>
      </w:hyperlink>
      <w:r>
        <w:rPr>
          <w:rFonts w:ascii="Times New Roman" w:hAnsi="Times New Roman"/>
          <w:b w:val="false"/>
          <w:i/>
          <w:color w:val="000000"/>
          <w:sz w:val="22"/>
        </w:rPr>
        <w:t>“c”</w:t>
      </w:r>
      <w:r>
        <w:rPr>
          <w:rFonts w:ascii="Times New Roman" w:hAnsi="Times New Roman"/>
          <w:b w:val="false"/>
          <w:i w:val="false"/>
          <w:color w:val="000000"/>
          <w:sz w:val="22"/>
        </w:rPr>
        <w:t>), payment for the administration of vaccines provided under the Vaccines for Children Program will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regional maximum administration fee under the Vaccines for Children Program in effect on June 30, 2014;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Medicare fee schedule rate in effect on June 30, 2014, for HCPCS code 90460 (or, if higher, the Medicare fee schedule rate for HCPCS code 90460 rate that would apply if the conversion factor under </w:t>
      </w:r>
      <w:r>
        <w:rPr>
          <w:rFonts w:ascii="Times New Roman" w:hAnsi="Times New Roman"/>
          <w:b w:val="false"/>
          <w:i w:val="false"/>
          <w:color w:val="000000"/>
          <w:sz w:val="22"/>
        </w:rPr>
        <w:t>42 U.S.C. §1395w-4</w:t>
      </w:r>
      <w:r>
        <w:rPr>
          <w:rFonts w:ascii="Times New Roman" w:hAnsi="Times New Roman"/>
          <w:b w:val="false"/>
          <w:i w:val="false"/>
          <w:color w:val="000000"/>
          <w:sz w:val="22"/>
        </w:rPr>
        <w:t>(d) as amended to July 1, 2026, were the conversion factor for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 for anesthesia services. </w:t>
      </w:r>
      <w:r>
        <w:rPr>
          <w:rFonts w:ascii="Times New Roman" w:hAnsi="Times New Roman"/>
          <w:b w:val="false"/>
          <w:i w:val="false"/>
          <w:color w:val="000000"/>
          <w:sz w:val="22"/>
        </w:rPr>
        <w:t xml:space="preserve">Anesthesia services are paid pursuant to this paragraph and the Iowa Medicaid fee schedule published by the department pursuant to paragraph </w:t>
      </w:r>
      <w:hyperlink r:id="rId158">
        <w:r>
          <w:rPr>
            <w:rStyle w:val="Hyperlink"/>
            <w:rFonts w:ascii="Times New Roman" w:hAnsi="Times New Roman"/>
            <w:b w:val="false"/>
            <w:i w:val="false"/>
            <w:color w:val="000000"/>
            <w:sz w:val="22"/>
          </w:rPr>
          <w:t>79.1(1)</w:t>
        </w:r>
      </w:hyperlink>
      <w:r>
        <w:rPr>
          <w:rFonts w:ascii="Times New Roman" w:hAnsi="Times New Roman"/>
          <w:b w:val="false"/>
          <w:i/>
          <w:color w:val="000000"/>
          <w:sz w:val="22"/>
        </w:rPr>
        <w:t>“c.”</w:t>
      </w:r>
      <w:r>
        <w:rPr>
          <w:rFonts w:ascii="Times New Roman" w:hAnsi="Times New Roman"/>
          <w:b w:val="false"/>
          <w:i w:val="false"/>
          <w:color w:val="000000"/>
          <w:sz w:val="22"/>
        </w:rPr>
        <w:t xml:space="preserve"> Anesthesia procedures listed in the fee schedule with a factor code of “F” are paid at the dollar amount of the factor listed for the procedure in the fee schedule. Anesthesia procedures listed in the fee schedule with a factor code of “A” are paid a dollar amount equal to the Iowa Medicaid anesthesia conversion factor multiplied by the sum of the minutes of service provided and the factor listed for the procedure in the fee schedule. The Iowa Medicaid anesthesia conversion factor is the current Medicare anesthesia conversion factor for Iowa, converted to a per-minute amount, which will be updated annually on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79.1(8)</w:t>
      </w:r>
      <w:r>
        <w:rPr>
          <w:rFonts w:ascii="Times New Roman" w:hAnsi="Times New Roman"/>
          <w:b w:val="false"/>
          <w:i w:val="false"/>
          <w:color w:val="000000"/>
          <w:sz w:val="22"/>
        </w:rPr>
        <w:t> </w:t>
      </w:r>
      <w:r>
        <w:rPr>
          <w:rFonts w:ascii="Times New Roman" w:hAnsi="Times New Roman"/>
          <w:b w:val="false"/>
          <w:i/>
          <w:color w:val="000000"/>
          <w:sz w:val="22"/>
        </w:rPr>
        <w:t xml:space="preserve">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paragraphs </w:t>
      </w:r>
      <w:hyperlink r:id="rId159">
        <w:r>
          <w:rPr>
            <w:rStyle w:val="Hyperlink"/>
            <w:rFonts w:ascii="Times New Roman" w:hAnsi="Times New Roman"/>
            <w:b w:val="false"/>
            <w:i w:val="false"/>
            <w:color w:val="000000"/>
            <w:sz w:val="22"/>
          </w:rPr>
          <w:t>79.1(8)</w:t>
        </w:r>
        <w:r>
          <w:rPr>
            <w:rFonts w:ascii="Times New Roman" w:hAnsi="Times New Roman"/>
            <w:b w:val="false"/>
            <w:i/>
            <w:color w:val="000000"/>
            <w:sz w:val="22"/>
          </w:rPr>
          <w:t>“d”</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all providers are reimbursed for covered drugs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Reimbursement for covered generic prescription drugs and for covered nonprescription drugs will be the lowest of the following, as of the date of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actual acquisition cost (AAC), determined pursuant to paragraph </w:t>
      </w:r>
      <w:hyperlink r:id="rId160">
        <w:r>
          <w:rPr>
            <w:rStyle w:val="Hyperlink"/>
            <w:rFonts w:ascii="Times New Roman" w:hAnsi="Times New Roman"/>
            <w:b w:val="false"/>
            <w:i w:val="false"/>
            <w:color w:val="000000"/>
            <w:sz w:val="22"/>
          </w:rPr>
          <w:t>79.1(8)</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the professional dispensing fee, determined pursuant to paragraph </w:t>
      </w:r>
      <w:hyperlink r:id="rId161">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federal upper limit (FUL), defined as the upper limit for a multiple-source drug established in accordance with the methodology of CMA as described in </w:t>
      </w:r>
      <w:r>
        <w:rPr>
          <w:rFonts w:ascii="Times New Roman" w:hAnsi="Times New Roman"/>
          <w:b w:val="false"/>
          <w:i w:val="false"/>
          <w:color w:val="000000"/>
          <w:sz w:val="22"/>
        </w:rPr>
        <w:t>42 CFR 447.514(a)</w:t>
      </w:r>
      <w:r>
        <w:rPr>
          <w:rFonts w:ascii="Times New Roman" w:hAnsi="Times New Roman"/>
          <w:b w:val="false"/>
          <w:i w:val="false"/>
          <w:color w:val="000000"/>
          <w:sz w:val="22"/>
        </w:rPr>
        <w:t xml:space="preserve">-(c) as amended to July 1, 2026, plus the professional dispensing fee determined pursuant to paragraph </w:t>
      </w:r>
      <w:hyperlink r:id="rId162">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submitted charge, represented by the lower of the gross amount due (GAD) as defined by the National Council for Prescription Drug Programs (NCPDP) standards definition, or the ingredient cost submitted plus the state defined professional dispensing fee, determined pursuant to paragraph </w:t>
      </w:r>
      <w:hyperlink r:id="rId163">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Reimbursement for covered brand-name prescription drugs will be the lowest of the following, as of the date of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64">
        <w:r>
          <w:rPr>
            <w:rStyle w:val="Hyperlink"/>
            <w:rFonts w:ascii="Times New Roman" w:hAnsi="Times New Roman"/>
            <w:b w:val="false"/>
            <w:i w:val="false"/>
            <w:color w:val="000000"/>
            <w:sz w:val="22"/>
          </w:rPr>
          <w:t>79.1(8)</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the professional dispensing fee, determined pursuant to paragraph </w:t>
      </w:r>
      <w:hyperlink r:id="rId165">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lower of the GAD as defined by the NCPDP standards definition, or the ingredient cost submitted plus the state-defined professional dispensing fee;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average state AAC is defined as retail pharmacies’ average prices paid to acquire drug products. Average state AAC will be determined by the department based on a survey of invoice prices paid by Iowa Medicaid retail pharmacies. Surveys will be conducted at least once every six months or more often at the department’s discretion. The average state AAC will be calculated as a statistical mean based on one reported cost per drug per pharmacy. The average state AAC determined by the department will be published on the department’s website. If no current average state AAC has been determined for a drug, the wholesale acquisition cost (WAC) published by Medi-Span will be used as the average state AAC.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Professional dispensing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professional dispensing fee will be a fee schedule amount determined by the department based on a survey of Iowa Medicaid participating pharmacy providers’ costs of dispensing drugs to Medicaid beneficiaries. The survey will be conducted every two years beginning in state fiscal year 2014-2015.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one-time professional dispensing fee reimbursed per one-month or three-month period, accounting for the refill tolerance of 90 percent consumption, per member, per drug, per strength, billed per provider for maintenance drugs as identified by MediSpan and maintenance nonprescription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 oral solid dispensed to a patient in a nursing home in unit dose packaging prepared by the pharmacist, an additional one cent per dose will be added to reimbursement based on acquisition cost or FUL. Payment may be made only for unit-dose-packaged drugs that are consumed by the patient. Any previous charges for unused unit-dose packages returned to the pharmacy must be credited to the Medicaid program, consistent with the board of pharmacy’s rules on return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340B-purchased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66">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reimbursement to a covered entity as defined in </w:t>
      </w:r>
      <w:r>
        <w:rPr>
          <w:rFonts w:ascii="Times New Roman" w:hAnsi="Times New Roman"/>
          <w:b w:val="false"/>
          <w:i w:val="false"/>
          <w:color w:val="000000"/>
          <w:sz w:val="22"/>
        </w:rPr>
        <w:t>42 U.S.C. 256b(a)(4)</w:t>
      </w:r>
      <w:r>
        <w:rPr>
          <w:rFonts w:ascii="Times New Roman" w:hAnsi="Times New Roman"/>
          <w:b w:val="false"/>
          <w:i w:val="false"/>
          <w:color w:val="000000"/>
          <w:sz w:val="22"/>
        </w:rPr>
        <w:t xml:space="preserve"> as amended to July 1, 2026, for covered outpatient drugs acquired by the entity through the 340B drug pricing program will be the lowest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340B covered entity actual acquisition cost (not to exceed the 340B ceiling price), submitted in the ingredient cost field, plus the professional dispensing fee pursuant to paragraph </w:t>
      </w:r>
      <w:hyperlink r:id="rId167">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68">
        <w:r>
          <w:rPr>
            <w:rStyle w:val="Hyperlink"/>
            <w:rFonts w:ascii="Times New Roman" w:hAnsi="Times New Roman"/>
            <w:b w:val="false"/>
            <w:i w:val="false"/>
            <w:color w:val="000000"/>
            <w:sz w:val="22"/>
          </w:rPr>
          <w:t>79.1(8)</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the professional dispensing fee pursuant to paragraph </w:t>
      </w:r>
      <w:hyperlink r:id="rId169">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generic prescription drugs and nonprescription drugs only, the FUL pursuant to numbered paragraph </w:t>
      </w:r>
      <w:hyperlink r:id="rId170">
        <w:r>
          <w:rPr>
            <w:rStyle w:val="Hyperlink"/>
            <w:rFonts w:ascii="Times New Roman" w:hAnsi="Times New Roman"/>
            <w:b w:val="false"/>
            <w:i w:val="false"/>
            <w:color w:val="000000"/>
            <w:sz w:val="22"/>
          </w:rPr>
          <w:t>79.1(8)</w:t>
        </w:r>
      </w:hyperlink>
      <w:r>
        <w:rPr>
          <w:rFonts w:ascii="Times New Roman" w:hAnsi="Times New Roman"/>
          <w:b w:val="false"/>
          <w:i/>
          <w:color w:val="000000"/>
          <w:sz w:val="22"/>
        </w:rPr>
        <w:t>“a”</w:t>
      </w:r>
      <w:r>
        <w:rPr>
          <w:rFonts w:ascii="Times New Roman" w:hAnsi="Times New Roman"/>
          <w:b w:val="false"/>
          <w:i w:val="false"/>
          <w:color w:val="000000"/>
          <w:sz w:val="22"/>
        </w:rPr>
        <w:t xml:space="preserve">(1)“2” plus the professional dispensing fee pursuant to paragraph </w:t>
      </w:r>
      <w:hyperlink r:id="rId171">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GAD as defined by the NCPDP standards definition;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for covered outpatient drugs to a 340B contract pharmacy, under contract with a covered entity described in </w:t>
      </w:r>
      <w:r>
        <w:rPr>
          <w:rFonts w:ascii="Times New Roman" w:hAnsi="Times New Roman"/>
          <w:b w:val="false"/>
          <w:i w:val="false"/>
          <w:color w:val="000000"/>
          <w:sz w:val="22"/>
        </w:rPr>
        <w:t>42 U.S.C. 256b(a)(4)</w:t>
      </w:r>
      <w:r>
        <w:rPr>
          <w:rFonts w:ascii="Times New Roman" w:hAnsi="Times New Roman"/>
          <w:b w:val="false"/>
          <w:i w:val="false"/>
          <w:color w:val="000000"/>
          <w:sz w:val="22"/>
        </w:rPr>
        <w:t xml:space="preserve"> as amended to July 1, 2026, will be according to paragraph </w:t>
      </w:r>
      <w:hyperlink r:id="rId172">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because covered outpatient drugs purchased through the 340B drug pricing program cannot be billed to Medicaid by a 340B contract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supply schedule (FSS) drugs. Notwithstanding paragraph </w:t>
      </w:r>
      <w:hyperlink r:id="rId173">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above, reimbursement for drugs acquired by a provider through the FSS program managed by the federal General Services Administration will be the lowest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actual acquisition cost (not to exceed the FSS price), submitted in the ingredient cost field, plus the professional dispensing fee pursuant to paragraph </w:t>
      </w:r>
      <w:hyperlink r:id="rId174">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75">
        <w:r>
          <w:rPr>
            <w:rStyle w:val="Hyperlink"/>
            <w:rFonts w:ascii="Times New Roman" w:hAnsi="Times New Roman"/>
            <w:b w:val="false"/>
            <w:i w:val="false"/>
            <w:color w:val="000000"/>
            <w:sz w:val="22"/>
          </w:rPr>
          <w:t>79.1(8)</w:t>
        </w:r>
        <w:r>
          <w:rPr>
            <w:rFonts w:ascii="Times New Roman" w:hAnsi="Times New Roman"/>
            <w:b w:val="false"/>
            <w:i/>
            <w:color w:val="000000"/>
            <w:sz w:val="22"/>
          </w:rPr>
          <w:t>“b”</w:t>
        </w:r>
      </w:hyperlink>
      <w:r>
        <w:rPr>
          <w:rFonts w:ascii="Times New Roman" w:hAnsi="Times New Roman"/>
          <w:b w:val="false"/>
          <w:i w:val="false"/>
          <w:color w:val="000000"/>
          <w:sz w:val="22"/>
        </w:rPr>
        <w:t xml:space="preserve"> plus the professional dispensing fee pursuant to paragraph </w:t>
      </w:r>
      <w:hyperlink r:id="rId176">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generic prescription drugs and nonprescription drugs only, the FUL pursuant to numbered paragraph </w:t>
      </w:r>
      <w:hyperlink r:id="rId177">
        <w:r>
          <w:rPr>
            <w:rStyle w:val="Hyperlink"/>
            <w:rFonts w:ascii="Times New Roman" w:hAnsi="Times New Roman"/>
            <w:b w:val="false"/>
            <w:i w:val="false"/>
            <w:color w:val="000000"/>
            <w:sz w:val="22"/>
          </w:rPr>
          <w:t>79.1(8)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“2” plus the professional dispensing fee pursuant to paragraph </w:t>
      </w:r>
      <w:hyperlink r:id="rId178">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GAD as defined by the NCPDP standards definition;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Nominal-price drugs. Notwithstanding paragraph </w:t>
      </w:r>
      <w:hyperlink r:id="rId179">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above, reimbursement for drugs acquired by providers at nominal prices and excluded from the calculation of the drug’s “best price” pursuant to </w:t>
      </w:r>
      <w:r>
        <w:rPr>
          <w:rFonts w:ascii="Times New Roman" w:hAnsi="Times New Roman"/>
          <w:b w:val="false"/>
          <w:i w:val="false"/>
          <w:color w:val="000000"/>
          <w:sz w:val="22"/>
        </w:rPr>
        <w:t>42 CFR 447.508</w:t>
      </w:r>
      <w:r>
        <w:rPr>
          <w:rFonts w:ascii="Times New Roman" w:hAnsi="Times New Roman"/>
          <w:b w:val="false"/>
          <w:i w:val="false"/>
          <w:color w:val="000000"/>
          <w:sz w:val="22"/>
        </w:rPr>
        <w:t xml:space="preserve"> as amended to July 1, 2026, will be the lowest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actual acquisition cost (not to exceed the nominal price paid), submitted in the ingredient cost field, plus the professional dispensing fee pursuant to paragraph </w:t>
      </w:r>
      <w:hyperlink r:id="rId180">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81">
        <w:r>
          <w:rPr>
            <w:rStyle w:val="Hyperlink"/>
            <w:rFonts w:ascii="Times New Roman" w:hAnsi="Times New Roman"/>
            <w:b w:val="false"/>
            <w:i w:val="false"/>
            <w:color w:val="000000"/>
            <w:sz w:val="22"/>
          </w:rPr>
          <w:t>79.1(8)</w:t>
        </w:r>
        <w:r>
          <w:rPr>
            <w:rFonts w:ascii="Times New Roman" w:hAnsi="Times New Roman"/>
            <w:b w:val="false"/>
            <w:i/>
            <w:color w:val="000000"/>
            <w:sz w:val="22"/>
          </w:rPr>
          <w:t>“b”</w:t>
        </w:r>
      </w:hyperlink>
      <w:r>
        <w:rPr>
          <w:rFonts w:ascii="Times New Roman" w:hAnsi="Times New Roman"/>
          <w:b w:val="false"/>
          <w:i w:val="false"/>
          <w:color w:val="000000"/>
          <w:sz w:val="22"/>
        </w:rPr>
        <w:t xml:space="preserve"> plus the professional dispensing fee pursuant to paragraph </w:t>
      </w:r>
      <w:hyperlink r:id="rId182">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generic prescription drugs and nonprescription drugs only, the FUL pursuant to </w:t>
      </w:r>
      <w:hyperlink r:id="rId183">
        <w:r>
          <w:rPr>
            <w:rStyle w:val="Hyperlink"/>
            <w:rFonts w:ascii="Times New Roman" w:hAnsi="Times New Roman"/>
            <w:b w:val="false"/>
            <w:i w:val="false"/>
            <w:color w:val="000000"/>
            <w:sz w:val="22"/>
          </w:rPr>
          <w:t>79.1(8)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“2” plus the professional dispensing fee pursuant to paragraph </w:t>
      </w:r>
      <w:hyperlink r:id="rId184">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GAD as defined by the NCPDP standards definition;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Indian health facilities enrolled pursuant to rule </w:t>
      </w:r>
      <w:hyperlink r:id="rId185">
        <w:r>
          <w:rPr>
            <w:rStyle w:val="Hyperlink"/>
            <w:rFonts w:ascii="Times New Roman" w:hAnsi="Times New Roman"/>
            <w:b w:val="false"/>
            <w:i w:val="false"/>
            <w:color w:val="000000"/>
            <w:sz w:val="22"/>
          </w:rPr>
          <w:t>441—77.47</w:t>
        </w:r>
      </w:hyperlink>
      <w:r>
        <w:rPr>
          <w:rFonts w:ascii="Times New Roman" w:hAnsi="Times New Roman"/>
          <w:b w:val="false"/>
          <w:i w:val="false"/>
          <w:color w:val="000000"/>
          <w:sz w:val="22"/>
        </w:rPr>
        <w:t xml:space="preserve">(249A). For all drugs provided to American Indians or Alaskan natives by Indian health facilities enrolled pursuant to rule </w:t>
      </w:r>
      <w:hyperlink r:id="rId186">
        <w:r>
          <w:rPr>
            <w:rStyle w:val="Hyperlink"/>
            <w:rFonts w:ascii="Times New Roman" w:hAnsi="Times New Roman"/>
            <w:b w:val="false"/>
            <w:i w:val="false"/>
            <w:color w:val="000000"/>
            <w:sz w:val="22"/>
          </w:rPr>
          <w:t>441—77.47</w:t>
        </w:r>
      </w:hyperlink>
      <w:r>
        <w:rPr>
          <w:rFonts w:ascii="Times New Roman" w:hAnsi="Times New Roman"/>
          <w:b w:val="false"/>
          <w:i w:val="false"/>
          <w:color w:val="000000"/>
          <w:sz w:val="22"/>
        </w:rPr>
        <w:t xml:space="preserve">(249A), reimbursement is one pharmacy encounter payment per date of service, notwithstanding paragraphs </w:t>
      </w:r>
      <w:hyperlink r:id="rId187">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hyperlink r:id="rId188">
        <w:r>
          <w:rPr>
            <w:rStyle w:val="Hyperlink"/>
            <w:rFonts w:ascii="Times New Roman" w:hAnsi="Times New Roman"/>
            <w:b w:val="false"/>
            <w:i w:val="false"/>
            <w:color w:val="000000"/>
            <w:sz w:val="22"/>
          </w:rPr>
          <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pharmacy encounter rate is the current “outpatient per visit rate (excluding Medicare)” approved by the U.S. Indian Health Service (IHS) for services provided by IHS facilities to Medicaid beneficiaries, as published in the Federal Register, as amended to July 1, 2026, and includes reimbursement for the dispensing fees, ingredient cost, and any necessary counseling by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Physician-administered drugs. Notwithstanding paragraphs </w:t>
      </w:r>
      <w:hyperlink r:id="rId189">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hyperlink r:id="rId190">
        <w:r>
          <w:rPr>
            <w:rStyle w:val="Hyperlink"/>
            <w:rFonts w:ascii="Times New Roman" w:hAnsi="Times New Roman"/>
            <w:b w:val="false"/>
            <w:i w:val="false"/>
            <w:color w:val="000000"/>
            <w:sz w:val="22"/>
          </w:rPr>
          <w:t/>
        </w:r>
        <w:r>
          <w:rPr>
            <w:rFonts w:ascii="Times New Roman" w:hAnsi="Times New Roman"/>
            <w:b w:val="false"/>
            <w:i/>
            <w:color w:val="000000"/>
            <w:sz w:val="22"/>
          </w:rPr>
          <w:t>“f,”</w:t>
        </w:r>
      </w:hyperlink>
      <w:r>
        <w:rPr>
          <w:rFonts w:ascii="Times New Roman" w:hAnsi="Times New Roman"/>
          <w:b w:val="false"/>
          <w:i w:val="false"/>
          <w:color w:val="000000"/>
          <w:sz w:val="22"/>
        </w:rPr>
        <w:t xml:space="preserve"> payment to physicians for physician-administered drugs billed with healthcare common procedure coding system (HCPCS) Level II “J” codes, as a physician service, will be pursuant to the physician payment policy under subrule </w:t>
      </w:r>
      <w:hyperlink r:id="rId191">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subrule, no payment will be made for sales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the Medicaid program relies on information published by Medi-Span to classify drugs as brand-name or generic.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79.1(10)</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reassignment of claims. </w:t>
      </w:r>
      <w:r>
        <w:rPr>
          <w:rFonts w:ascii="Times New Roman" w:hAnsi="Times New Roman"/>
          <w:b w:val="false"/>
          <w:i w:val="false"/>
          <w:color w:val="000000"/>
          <w:sz w:val="22"/>
        </w:rPr>
        <w:t>No payment under the medical assistance program for any care or service provided to a patient by any health care provider will be made to anyone other than the providers. However, with respect to physicians, dentists or other individual practitioners, direct payment may be made to the employer of the practitioner if the practitioner is required as a condition of employment to turn over fees to the employer; or where the care or service was provided in a facility, to the facility in which the care or service was provided if there is a contractual arrangement between the practitioner and the facility whereby the facility submits the claim for reimbursement; or to a foundation, plan or similar organization, including a health maintenance organization that furnishes health care through an organized health care delivery system if there is a contractual agreement between organization and the person furnishing the service under which the organization bills or receives payment for the person’s services. Payment may be made in accordance with an assignment from the provider to a government agency or an assignment made pursuant to a court order. Payment may be made to a business agent, such as a billing service or accounting firm, that renders statements and receives payment in the name of the provider when the agent’s compensation for this service is (1) reasonably related to the cost or processing the billing; (2) not related on a percentage or other basis to the dollar amounts to be billed or collected; and (3) not dependent upon the actual collection of payment. Nothing in this rule will preclude making payment to the estate of a deceased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79.1(11)</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factoring. </w:t>
      </w:r>
      <w:r>
        <w:rPr>
          <w:rFonts w:ascii="Times New Roman" w:hAnsi="Times New Roman"/>
          <w:b w:val="false"/>
          <w:i w:val="false"/>
          <w:color w:val="000000"/>
          <w:sz w:val="22"/>
        </w:rPr>
        <w:t xml:space="preserve">Payment under the medical assistance program for any care or service furnished to an individual by providers, as specified in subrule </w:t>
      </w:r>
      <w:hyperlink r:id="rId192">
        <w:r>
          <w:rPr>
            <w:rStyle w:val="Hyperlink"/>
            <w:rFonts w:ascii="Times New Roman" w:hAnsi="Times New Roman"/>
            <w:b w:val="false"/>
            <w:i w:val="false"/>
            <w:color w:val="000000"/>
            <w:sz w:val="22"/>
          </w:rPr>
          <w:t>79.1(1)</w:t>
        </w:r>
      </w:hyperlink>
      <w:r>
        <w:rPr>
          <w:rFonts w:ascii="Times New Roman" w:hAnsi="Times New Roman"/>
          <w:b w:val="false"/>
          <w:i w:val="false"/>
          <w:color w:val="000000"/>
          <w:sz w:val="22"/>
        </w:rPr>
        <w:t>, will not be made to or through a factor either directly or by virtue of power of attorney given by the provider to the factor. A factor is defined as an organization, collection agency, or service bureau that, or an individual who, advances money to a provider for accounts receivable that have been assigned or sold or otherwise transferred, including transfer through the use of power of attorney to the organization or individual for an added fee or reduction of a portion of the accounts receivable. The term factor does not include business representatives, such as billing agents or accounting firms, that render statements and receive payments in the name of the individual provider provided that the compensation of the business representative for the service is reasonably related to the cost of processing the billings and is not related on a percentage or other basis to the dollar amounts to be billed or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79.1(12)</w:t>
      </w:r>
      <w:r>
        <w:rPr>
          <w:rFonts w:ascii="Times New Roman" w:hAnsi="Times New Roman"/>
          <w:b w:val="false"/>
          <w:i w:val="false"/>
          <w:color w:val="000000"/>
          <w:sz w:val="22"/>
        </w:rPr>
        <w:t> </w:t>
      </w:r>
      <w:r>
        <w:rPr>
          <w:rFonts w:ascii="Times New Roman" w:hAnsi="Times New Roman"/>
          <w:b w:val="false"/>
          <w:i/>
          <w:color w:val="000000"/>
          <w:sz w:val="22"/>
        </w:rPr>
        <w:t xml:space="preserve">Reasonable charges for services, supplies, and equipment. </w:t>
      </w:r>
      <w:r>
        <w:rPr>
          <w:rFonts w:ascii="Times New Roman" w:hAnsi="Times New Roman"/>
          <w:b w:val="false"/>
          <w:i w:val="false"/>
          <w:color w:val="000000"/>
          <w:sz w:val="22"/>
        </w:rPr>
        <w:t>For selected medical services, supplies, and equipment, including equipment servicing, which, in the judgment of the Secretary of the Department of Health and Human Services, generally do not vary significantly in quality from one provider to another, the upper limits for payments will be the lowest charges for which the devices are widely and consistently available in a locality. For those selected services and items furnished under Part B of Medicare and Medicaid, the upper limits will be the lowest charge levels recognized under Medicare. For those selected services and items furnished only under Medicaid, the upper limits will be the lowest charge levels determined by the department according to the Medicare reimbursement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any noninstitutional item or service furnished under both Medicare and Medicaid, the department will pay no more than the reasonable charge established for that item or service by the Part B Medicare carrier serving part or all of Iowa. Noninstitutional services do not include practitioner’s services, such as physicians, pharmacies, or out-patient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other noninstitutional items or services furnished only under Medicaid, the department will pay no more than the customary charge for a provider or the prevailing charges in the locality for comparable items or services under comparable circumstances, whichever is lower.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79.1(13)</w:t>
      </w:r>
      <w:r>
        <w:rPr>
          <w:rFonts w:ascii="Times New Roman" w:hAnsi="Times New Roman"/>
          <w:b w:val="false"/>
          <w:i w:val="false"/>
          <w:color w:val="000000"/>
          <w:sz w:val="22"/>
        </w:rPr>
        <w:t> </w:t>
      </w:r>
      <w:r>
        <w:rPr>
          <w:rFonts w:ascii="Times New Roman" w:hAnsi="Times New Roman"/>
          <w:b w:val="false"/>
          <w:i/>
          <w:color w:val="000000"/>
          <w:sz w:val="22"/>
        </w:rPr>
        <w:t xml:space="preserve">Copayment by member. </w:t>
      </w:r>
      <w:r>
        <w:rPr>
          <w:rFonts w:ascii="Times New Roman" w:hAnsi="Times New Roman"/>
          <w:b w:val="false"/>
          <w:i w:val="false"/>
          <w:color w:val="000000"/>
          <w:sz w:val="22"/>
        </w:rPr>
        <w:t>A copayment in the amount specified will be charged to members for the following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shall pay a copayment of $1 for each covered prescription or refill of any covered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shall pay $1 copayment for total covered service rendered on a given date for podiatrists’ services, chiropractors’ services, and services of independently practicing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shall pay $2 copayment for total covered services rendered on a given date for medical equipment and appliances, prosthetic devices and medical supplies as defined in rule </w:t>
      </w:r>
      <w:hyperlink r:id="rId193">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 orthopedic shoes, services of audiologists, services of hearing aid dealers except the hearing aid, services of optometrists, opticians, rehabilitation agencies, and psychologists, and 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shall pay $3 copayment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covered service rendered on a given date for dental services and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covered services rendered in a physician office visit on a given date. For the purposes of this subparagraph, “physician” means either a doctor of allopathic medicine (M.D.) or a doctor of osteopathic medicine (D.O.), as defined under rule </w:t>
      </w:r>
      <w:hyperlink r:id="rId194">
        <w:r>
          <w:rPr>
            <w:rStyle w:val="Hyperlink"/>
            <w:rFonts w:ascii="Times New Roman" w:hAnsi="Times New Roman"/>
            <w:b w:val="false"/>
            <w:i w:val="false"/>
            <w:color w:val="000000"/>
            <w:sz w:val="22"/>
          </w:rPr>
          <w:t>441—77.1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to persons under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to family planning services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for a member receiving inpatient care in a hospital, nursing facility, state mental health institution, or other medical institution if the person is required, as a condition of receiving services in the institution, to spend for costs of necessary medical care all but a minimal amount of income for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member shall pay $1 for each federal Medicare Part B crossover claim submitted to the Medicaid program when the services provided have a Medicaid copayment as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to services furnished pregnant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providers are prohibited from offering or providing copayment related discounts, rebates, or similar incentives for the purpose of soliciting the patronage of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for emergency services. Emergency services are defined as services provided in a hospital, clinic, office, or other facility that is equipped to furnish the required care, after the sudden onset of a medical condition manifesting itself by acute symptoms of sufficient severity (including severe pain), that the absence of immediate medical attention could reasonably be expected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Placing the patient’s health in serious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Serious impairment to bodily functions,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for services rendered by a health maintenance organization in which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No provider of service participating in the Medicaid program may deny care or services to a person eligible for care or services under the program because of the person’s inability to pay a copayment. However, this rule does not change the fact that a member is liable for the charges and it does not preclude the provider from attempting to collect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shall pay a $3 copayment for each visit to a hospital emergency room for treatment that does not meet the criteria for an emergency service as defined in paragraph </w:t>
      </w:r>
      <w:hyperlink r:id="rId195">
        <w:r>
          <w:rPr>
            <w:rStyle w:val="Hyperlink"/>
            <w:rFonts w:ascii="Times New Roman" w:hAnsi="Times New Roman"/>
            <w:b w:val="false"/>
            <w:i w:val="false"/>
            <w:color w:val="000000"/>
            <w:sz w:val="22"/>
          </w:rPr>
          <w:t>79.1(13)</w:t>
        </w:r>
        <w:r>
          <w:rPr>
            <w:rFonts w:ascii="Times New Roman" w:hAnsi="Times New Roman"/>
            <w:b w:val="false"/>
            <w:i/>
            <w:color w:val="000000"/>
            <w:sz w:val="22"/>
          </w:rPr>
          <w:t>“k.”</w:t>
        </w:r>
      </w:hyperlink>
      <w:r>
        <w:rPr>
          <w:rFonts w:ascii="Times New Roman" w:hAnsi="Times New Roman"/>
          <w:b w:val="false"/>
          <w:i w:val="false"/>
          <w:color w:val="000000"/>
          <w:sz w:val="22"/>
        </w:rPr>
        <w:t xml:space="preserve"> This $3 copayment will not apply if the visit to the emergency room results in a hospital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79.1(14)</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hospice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hospice rates. The Medicaid hospice rates are based on the methodology used in setting Medicare rates, adjusted to disregard cost offsets attributable to Medicare coinsurance amounts, and with application of the appropriate area wage adjustments for the categories of care provided.</w:t>
      </w:r>
    </w:p>
    <w:p>
      <w:pPr>
        <w:spacing w:before="0" w:after="0"/>
        <w:ind w:left="120"/>
        <w:jc w:val="both"/>
      </w:pPr>
      <w:r>
        <w:rPr>
          <w:rFonts w:ascii="Times New Roman" w:hAnsi="Times New Roman"/>
          <w:b w:val="false"/>
          <w:i w:val="false"/>
          <w:color w:val="000000"/>
          <w:sz w:val="22"/>
        </w:rPr>
        <w:t>Hospices are reimbursed at one of four predetermined rates based on the level of care furnished to the individual for that day. Payments to a hospice for inpatient care are subject to the limitations imposed by Medicare. The levels of care into which each day of care is classified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home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Continuous home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Inpatient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 inpatient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Adjustment to hospice rates. An adjustment to hospice reimbursement is made when a recipient residing in a nursing facility elects the hospice benefit. The adjustment will be a room and board rate that is equal to the rate at which the facility is paid for reserved bed days or 95 percent of the facility’s Medicaid reimbursement rate, whichever is greater. Room and board services include the performance of personal care services, including assistance in activities of daily living, socializing activities, administration of medication, maintaining the cleanliness of a resident’s room and supervising and assisting in the use of durable medical equipment and prescribed therapies.</w:t>
      </w:r>
    </w:p>
    <w:p>
      <w:pPr>
        <w:spacing w:before="0" w:after="0"/>
        <w:ind w:left="120"/>
        <w:jc w:val="both"/>
      </w:pPr>
      <w:r>
        <w:rPr>
          <w:rFonts w:ascii="Times New Roman" w:hAnsi="Times New Roman"/>
          <w:b w:val="false"/>
          <w:i w:val="false"/>
          <w:color w:val="000000"/>
          <w:sz w:val="22"/>
        </w:rPr>
        <w:t>For hospice recipients entering a nursing facility, the adjustment will be effective the date of entry. For persons in nursing facilities prior to hospice election, the adjustment rate will be effective the date of election.</w:t>
      </w:r>
    </w:p>
    <w:p>
      <w:pPr>
        <w:spacing w:before="0" w:after="0"/>
        <w:ind w:left="120"/>
        <w:jc w:val="both"/>
      </w:pPr>
      <w:r>
        <w:rPr>
          <w:rFonts w:ascii="Times New Roman" w:hAnsi="Times New Roman"/>
          <w:b w:val="false"/>
          <w:i w:val="false"/>
          <w:color w:val="000000"/>
          <w:sz w:val="22"/>
        </w:rPr>
        <w:t>For individuals who have client participation amounts attributable to their cost of care, the adjustment to the hospice will be reduced by the amount of client participation as determined by the department. The hospice will be responsible for collecting the client participation amount due the hospice unless the hospice and the nursing facility jointly determine the nursing facility is to collect the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day of discharge. For the day of discharge from an inpatient unit, the appropriate home care rate is to be paid unless the recipient dies as an inpatient. When the recipient is discharged as deceased, the inpatient rate (general or respite) is to be paid for the discharge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Hospice cap. Overall aggregate payments made to a hospice during a hospice cap period are limited or capped. The hospice cap year begins November 1 and ends October 31 of the next year. The cap amount for each hospice is calculated by multiplying the number of beneficiaries electing hospice care from that hospice during the cap period by the base statutory amount, adjusted to reflect the percentage increase or decrease in the medical care expenditure category of the Consumer Price Index for all urban consumers published by the Bureau of Labor Statistics. Payments made to a hospice but not included in the cap include room and board payment to a nursing home. Any payment in excess of the cap must be refunded to the department by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Limitation of payments for inpatient care. Payments to a hospice for inpatient care will be limited according to the number of days of inpatient care furnished to Medicaid patients. During the 12-month period beginning November 1 of each year and ending October 31, the aggregate number of inpatient days (both for general inpatient care and inpatient respite care) will not exceed 20 percent of the aggregate total number of days of hospice care provided to all Medicaid recipients during that same period. Medicaid recipients afflicted with acquired immunodeficiency syndrome (AIDS) are excluded in calculating this inpatient care limitation. This limitation is applied once each year, at the end of the hospices’ “cap period” (November 1 to October 31). For purposes of this computation, if it is determined that the inpatient rate should not be paid, any days for which the hospice receives payment at a home care rate will not be counted as inpatient days. The limitation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allowable number of inpatient days will be calculated by multiplying the total number of days of Medicaid hospice care by 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total number of days of inpatient care furnished to Medicaid hospice patients is less than or equal to the maximum, no adjustment will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total number of days of inpatient care exceeded the maximum allowable number, the limitation will be determined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Calculating a ratio of the maximum allowable days to the number of actual days of inpatient care, and multiplying this ratio by the total reimbursement for inpatient care (general inpatient and inpatient respite reimbursement) that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Multiplying excess inpatient care days by the routine home care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Adding together the amounts calculated in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Comparing the amount in “3” with interim payments made to the hospice for inpatient care during the “cap period.”</w:t>
      </w:r>
    </w:p>
    <w:p>
      <w:pPr>
        <w:spacing w:before="0" w:after="0"/>
        <w:ind w:left="120"/>
        <w:jc w:val="both"/>
      </w:pPr>
      <w:r>
        <w:rPr>
          <w:rFonts w:ascii="Times New Roman" w:hAnsi="Times New Roman"/>
          <w:b w:val="false"/>
          <w:i w:val="false"/>
          <w:color w:val="000000"/>
          <w:sz w:val="22"/>
        </w:rPr>
        <w:t>Any excess reimbursement shall be refunded by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Location of services. Claims must identify the geographic location where the service is provided (as distinct from the location of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79.1(15)</w:t>
      </w:r>
      <w:r>
        <w:rPr>
          <w:rFonts w:ascii="Times New Roman" w:hAnsi="Times New Roman"/>
          <w:b w:val="false"/>
          <w:i w:val="false"/>
          <w:color w:val="000000"/>
          <w:sz w:val="22"/>
        </w:rPr>
        <w:t> </w:t>
      </w:r>
      <w:r>
        <w:rPr>
          <w:rFonts w:ascii="Times New Roman" w:hAnsi="Times New Roman"/>
          <w:b w:val="false"/>
          <w:i/>
          <w:color w:val="000000"/>
          <w:sz w:val="22"/>
        </w:rPr>
        <w:t xml:space="preserve">HCBS retrospectively limited prospective rates. </w:t>
      </w:r>
      <w:r>
        <w:rPr>
          <w:rFonts w:ascii="Times New Roman" w:hAnsi="Times New Roman"/>
          <w:b w:val="false"/>
          <w:i w:val="false"/>
          <w:color w:val="000000"/>
          <w:sz w:val="22"/>
        </w:rPr>
        <w:t>This methodology applies to reimbursement for HCBS brain injury waiver supported community living; HCBS intellectual disability waiver supported community living for 15-minute services; HCBS children’s mental health waiver family and community support services; and HCBS interim medical monitoring and treatment when provided by an HCBS-certified supported community agency under an HCBS intellectual disability waiver, brain injury waiver, or health and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the completed certification form prescribed by the department. The provider shall email the report and required supplemental information to the email address specified on the form. The provider shall mail one signed copy of the certification page to Iowa Medicaid at the department’s address, no later than the due date of the required electronic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a financial and statistical report coinciding with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the financial and statistical report on or before the last day of the third month following the end of the cost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certified home health agency enrolled to deliver HCBS that is required to submit a Medicare cost report may request a 60-day extension for submitting the financial and statistical cost report. All other providers may request a 30-day extension for submitting the financial and statistical report. All requests must be submitted in writing to Iowa Medicaid by the financial and statistical report due date. No other extensions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terminates its participation in any HCBS program or service, the provider shall submit a final financial and statistical report on or before the sixtieth day following the date of termination for retrospective adjustment in accordance with subparagraph </w:t>
      </w:r>
      <w:hyperlink r:id="rId196">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failing to submit a financial and statistical report that meets the requirements of this paragraph within the time frames set forth in subparagraph </w:t>
      </w:r>
      <w:hyperlink r:id="rId197">
        <w:r>
          <w:rPr>
            <w:rStyle w:val="Hyperlink"/>
            <w:rFonts w:ascii="Times New Roman" w:hAnsi="Times New Roman"/>
            <w:b w:val="false"/>
            <w:i w:val="false"/>
            <w:color w:val="000000"/>
            <w:sz w:val="22"/>
          </w:rPr>
          <w:t>79.1(15)</w:t>
        </w:r>
      </w:hyperlink>
      <w:r>
        <w:rPr>
          <w:rFonts w:ascii="Times New Roman" w:hAnsi="Times New Roman"/>
          <w:b w:val="false"/>
          <w:i/>
          <w:color w:val="000000"/>
          <w:sz w:val="22"/>
        </w:rPr>
        <w:t>“a”</w:t>
      </w:r>
      <w:r>
        <w:rPr>
          <w:rFonts w:ascii="Times New Roman" w:hAnsi="Times New Roman"/>
          <w:b w:val="false"/>
          <w:i w:val="false"/>
          <w:color w:val="000000"/>
          <w:sz w:val="22"/>
        </w:rPr>
        <w:t xml:space="preserve">(3) or </w:t>
      </w:r>
      <w:r>
        <w:rPr>
          <w:rFonts w:ascii="Times New Roman" w:hAnsi="Times New Roman"/>
          <w:b w:val="false"/>
          <w:i/>
          <w:color w:val="000000"/>
          <w:sz w:val="22"/>
        </w:rPr>
        <w:t>“a”</w:t>
      </w:r>
      <w:r>
        <w:rPr>
          <w:rFonts w:ascii="Times New Roman" w:hAnsi="Times New Roman"/>
          <w:b w:val="false"/>
          <w:i w:val="false"/>
          <w:color w:val="000000"/>
          <w:sz w:val="22"/>
        </w:rPr>
        <w:t>(4), as applicable, will reduce payment to 76 percent of the current rate. The reduced rate will be paid for not longer than three months, after which time no further payments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a completed financial and statistical report in an electronic format that can be opened using the extension xls or xlsx. The provider shall submit supplemental documentation in a generally accepted business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Along with its financial and statistical report, the provider shall include a working trial balance that corresponds to the data contained on the financial and statistical report. Financial and statistical reports submitted without a working trial balance will be considered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provider’s financial data within the financial and statistical report shall be based on the provider’s financial records. When the records are not based on the accrual basis of accounting, the provider shall make adjustments necessary to convert the information to an accrual basis for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Providers of multiple programs or services shall submit a cost allocation schedule. The schedule must identify an allocation method for each expense account, including the statistics used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Providers shall not report costs to any waiver service that are costs of any other program or public or private funding sources, including but not limited to the Medicaid state plan; Medicare; other state, local or federal funded programs; and private funding sources. Providers shall not report costs of HCBS waiver services as a cost of any other public or private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Iowa Medicaid or its designee may review or audit financial and statistical reports as filed to determine the actual cost of services in accordance with generally accepted accounting principles or Medicare cost principles published in Centers for Medicare and Medicaid Services Publication §15-1 as amended to July 1, 2026, subject to the exceptions and limitations in the department’s administrative rules and financial and statistical report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Failure to maintain records to support the financial and statistical report and make them available to the department or its designee upon request may result in adjustment, payment reduction, or sanction including but not limited to termination of the provider’s HCBS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When adjustments made to prior reports indicate noncompliance with reporting instructions or the provider has a history of inadequate documentation to support the financial and statistical report, the department may require that an external accountant experienced with cost report preparation prepare the financial and statistical report or that a certified public accountant complete a review or examination of the financial and statistical report or cost allocation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Home- and community-based general rate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receive reimbursement for services, a certified provider shall enter into an agreement with the department on the form specified by the department and have an approved service plan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rates a provider may charge are subject to limits established in subrule </w:t>
      </w:r>
      <w:hyperlink r:id="rId198">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Twenty percent identified cost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identified costs are not subject to the 20 percent limitation; however, the following costs are used to calculate the limitation: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Wages, benefits, and payroll taxes.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Direct care transportation expense—with and without member present.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Direct care development, training, and supplies.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Member-specific assistance.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Member-specific equipment repair 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waiver service, the sum of reported costs not identified in numbered paragraph </w:t>
      </w:r>
      <w:hyperlink r:id="rId199">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 xml:space="preserve">(3)“1” is limited to 20 percent of the identified costs in numbered paragraph </w:t>
      </w:r>
      <w:hyperlink r:id="rId200">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Mileage reimbursement for business use of personal employee vehicles will be limited to the federal Internal Revenue Service’s (IRS’s) published mileage rate in effect during the cost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for services of owners or immediate relatives is an allowable cost, provided the services are actually performed in a necessary function and do not exceed the maximum allowed compensation as described in numbered paragraphs </w:t>
      </w:r>
      <w:hyperlink r:id="rId201">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(5)“5” and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“Ownership” is defined as an interest of 5 percent or more. For this purpose, the following persons are considered immediate relatives: husband, wife, natural or adoptive parent, natural or adoptive child, natural or adoptive sibling, step-parent, step-child, step-sibling, parent-in-law, child-in-law, sibling-in-law, grandparent, or grandchild. Adequate time records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“Compensation” means the total benefit received by the owner or immediate relative for services rendered. Compensation includes all remuneration, paid currently or accrued, for managerial, administrative, professional and other services rendered during the period. Compensation shall include all items that should be reflected on IRS Form W-2, Wage and Tax Statement, including but not limited to salaries, wages, and fringe benefits; the cost of assets and services received; and deferred compensation. Fringe benefits include but are not limited to costs of leave, employee insurance, pensions and unemployment plans. If the facility’s fiscal year end does not correlate to the period of the W-2, a reconciliation between the latest-issued W-2 and current compensation shall be required to be disclosed to Iowa Medicaid or its designee. Employer portions of payroll taxes associated with amounts of compensation that exceed the maximum allowed compensation will be considered unallowable for reimbursement. Providers shall report all compensation paid to related parties, including payroll taxes, on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“Reasonableness” requires that the compensation allowance be such an amount as would ordinarily be paid for comparable services by comparable providers, and depends upon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the executive director, corporate executive officer, or equivalent position, who is an owner or immediate relative, is equal to the intermediate care facility for persons with an intellectual disability (ICF/ID) maximum compensation for facilities with 60 beds or more pursuant to </w:t>
      </w:r>
      <w:hyperlink r:id="rId202">
        <w:r>
          <w:rPr>
            <w:rStyle w:val="Hyperlink"/>
            <w:rFonts w:ascii="Times New Roman" w:hAnsi="Times New Roman"/>
            <w:b w:val="false"/>
            <w:i w:val="false"/>
            <w:color w:val="000000"/>
            <w:sz w:val="22"/>
          </w:rPr>
          <w:t>441—subparagraph 82.4(11)</w:t>
        </w:r>
      </w:hyperlink>
      <w:r>
        <w:rPr>
          <w:rFonts w:ascii="Times New Roman" w:hAnsi="Times New Roman"/>
          <w:b w:val="false"/>
          <w:i/>
          <w:color w:val="000000"/>
          <w:sz w:val="22"/>
        </w:rPr>
        <w:t>“e”</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any other owner or immediate relative is 60 percent of the amount allowed in numbered paragraph </w:t>
      </w:r>
      <w:hyperlink r:id="rId203">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records in the same manner for an owner or immediate relative compensated by the agency as are maintained for any employee of the agency, including but not limited to employment records, timekeeping, and payroll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owners and immediate relatives shall be adjusted by the percentage of the average workweek devoted to business activity during the fiscal year of the financial and statistical report. The time devoted to the business shall be disclosed on the financial and statistical report. If an owner’s or immediate relative’s time is allocated to the facility from another entity (e.g., home office), the compensation limit shall be adjusted by the percentage of total costs of the entity allocated to the facility. In no case shall the amount of salary for one owner or immediate relative allocated to multiple facilities be more than the maximum allowed compensation for that employee had the salary been allocated to only one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Costs applicable to services, facilities, and supplies furnished to the provider by a person or organization related to the provider by common ownership or control are a reimbursable cost when included at the cost to the related party or organization. The cost shall not exceed the price of comparable services, facilities, or supplies that could be purchased elsewhere.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“Related” means that the agency, to a significant extent, is associated with or has control of or is controlled by the organization furnishing the services, facilities, or supplies.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Common ownership exists when an individual or individuals possess significant ownership or equity in the facility and the institution or organization serving the provider.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Control exists where an individual or an organization has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provider may lease a facility from a related person or organization. In such case, the rent paid to the lessor by the provider is not allowable as a cost. The provider, however, would include in its cost the costs of ownership of the facility. This includes depreciation, interest on the mortgage, real estate taxes, and other expenses attributable to the leased facility.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 exception is provided to the general rule applicable to related organizations. The exception applies if the provider demonstrates by convincing evidence that the criteria in numbered paragraph </w:t>
      </w:r>
      <w:hyperlink r:id="rId204">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(5)“10”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agency must demonstrate the following with convincing evidence. Where all of the conditions below are met, the charges by the supplier to the provider for such services, facilities, or supplies are allowable as costs.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supplying organization is a bona fide separate organization;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substantial part of its business activity of the type carried on with the facility is transacted with others and there is an open competitive market for the type of services, facilities, or supplies furnished by the organization;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services, facilities, or supplies are those which commonly are obtained by similar institutions from other organizations and are not a basic element of patient care ordinarily furnished directly to patients by the institutions;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charge to the agency is in line with the charge for services, facilities, or supplies in the open market and no more than the charge made under comparable circumstances to others by the organization for the services, facilities,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Prospective rates for new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 providers” means providers who have not submitted an annual report including at least six months of actual, historical costs of operations for any service as listed in subrule </w:t>
      </w:r>
      <w:hyperlink r:id="rId205">
        <w:r>
          <w:rPr>
            <w:rStyle w:val="Hyperlink"/>
            <w:rFonts w:ascii="Times New Roman" w:hAnsi="Times New Roman"/>
            <w:b w:val="false"/>
            <w:i w:val="false"/>
            <w:color w:val="000000"/>
            <w:sz w:val="22"/>
          </w:rPr>
          <w:t>79.1(15)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providers will be paid prospective rates based on projected reasonable and proper costs of operation for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Projected costs of any new service, as listed in subrule </w:t>
      </w:r>
      <w:hyperlink r:id="rId206">
        <w:r>
          <w:rPr>
            <w:rStyle w:val="Hyperlink"/>
            <w:rFonts w:ascii="Times New Roman" w:hAnsi="Times New Roman"/>
            <w:b w:val="false"/>
            <w:i w:val="false"/>
            <w:color w:val="000000"/>
            <w:sz w:val="22"/>
          </w:rPr>
          <w:t>79.1(15)</w:t>
        </w:r>
      </w:hyperlink>
      <w:r>
        <w:rPr>
          <w:rFonts w:ascii="Times New Roman" w:hAnsi="Times New Roman"/>
          <w:b w:val="false"/>
          <w:i w:val="false"/>
          <w:color w:val="000000"/>
          <w:sz w:val="22"/>
        </w:rPr>
        <w:t>, shall be submitted on the applicable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rates will be subject to retrospective adjustment as provided in paragraph </w:t>
      </w:r>
      <w:hyperlink r:id="rId207">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provider has submitted an annual report including at least six months of actual, historical costs, prospective rates will be determined as provided in paragraph </w:t>
      </w:r>
      <w:hyperlink r:id="rId208">
        <w:r>
          <w:rPr>
            <w:rStyle w:val="Hyperlink"/>
            <w:rFonts w:ascii="Times New Roman" w:hAnsi="Times New Roman"/>
            <w:b w:val="false"/>
            <w:i w:val="false"/>
            <w:color w:val="000000"/>
            <w:sz w:val="22"/>
          </w:rPr>
          <w:t>79.1(15)</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Prospective rates for established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“Established providers” means providers who have submitted an annual report including six months of actual, historical costs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prospective rate will be adjusted annually, effective the first day of the third month after the month during which the annual financial and statistical report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provider’s prospective rate will be the lower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provider’s reasonable and proper actual cost-based rate as calculated by the provider’s most recent financial and statistical report and adjusted by the consumer price index for all urban consumers for the preceding 12-month period ending as of the provider’s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first year of reporting six months of actual, historical costs of operation, or a year in which the provider’s base rate is recalculated, the base rate is equal to the amount calculated in numbered paragraph </w:t>
      </w:r>
      <w:hyperlink r:id="rId209">
        <w:r>
          <w:rPr>
            <w:rStyle w:val="Hyperlink"/>
            <w:rFonts w:ascii="Times New Roman" w:hAnsi="Times New Roman"/>
            <w:b w:val="false"/>
            <w:i w:val="false"/>
            <w:color w:val="000000"/>
            <w:sz w:val="22"/>
          </w:rPr>
          <w:t>79.1(15)</w:t>
        </w:r>
      </w:hyperlink>
      <w:r>
        <w:rPr>
          <w:rFonts w:ascii="Times New Roman" w:hAnsi="Times New Roman"/>
          <w:b w:val="false"/>
          <w:i/>
          <w:color w:val="000000"/>
          <w:sz w:val="22"/>
        </w:rPr>
        <w:t>“d”</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 year in which the provider’s base rate is not recalculated, the prior period base rate adjusted by the consumer price index for all urban consumers for the preceding 12-month period ending as of the provider’s fiscal year end,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upper rate limit pursuant to subrule </w:t>
      </w:r>
      <w:hyperlink r:id="rId210">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Recalculation of base rates (rebasing).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providers of HCBS brain injury waiver supported community living services; HCBS children’s mental health waiver family and community support services; and interim medical monitoring and treatment services when provided by an HCBS-certified supported community living services agency, the base rates will be recalculated based on the reasonable and proper actual costs of operation as calculated by the fiscal year 2022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providers of HCBS brain injury waiver supported community living services; HCBS children’s mental health waiver family and community support services; interim medical monitoring and treatment services when provided by an HCBS-certified supported community living services agency; and 15-minute HCBS intellectual disability waiver supported community living services, the base rates will be recalculated based on the reasonable and proper costs of operation for the provider’s fiscal year ending on or after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to the recalculation of base rates in numbered paragraph </w:t>
      </w:r>
      <w:hyperlink r:id="rId211">
        <w:r>
          <w:rPr>
            <w:rStyle w:val="Hyperlink"/>
            <w:rFonts w:ascii="Times New Roman" w:hAnsi="Times New Roman"/>
            <w:b w:val="false"/>
            <w:i w:val="false"/>
            <w:color w:val="000000"/>
            <w:sz w:val="22"/>
          </w:rPr>
          <w:t>79.1(15)</w:t>
        </w:r>
      </w:hyperlink>
      <w:r>
        <w:rPr>
          <w:rFonts w:ascii="Times New Roman" w:hAnsi="Times New Roman"/>
          <w:b w:val="false"/>
          <w:i/>
          <w:color w:val="000000"/>
          <w:sz w:val="22"/>
        </w:rPr>
        <w:t>“d”</w:t>
      </w:r>
      <w:r>
        <w:rPr>
          <w:rFonts w:ascii="Times New Roman" w:hAnsi="Times New Roman"/>
          <w:b w:val="false"/>
          <w:i w:val="false"/>
          <w:color w:val="000000"/>
          <w:sz w:val="22"/>
        </w:rPr>
        <w:t>(4)“2,” a provider’s base rate will be recalculated no less than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rates will be subject to retrospective adjustment as provided in paragraph </w:t>
      </w:r>
      <w:hyperlink r:id="rId212">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Retrospective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fee for service, retrospective adjustments will be made based on reconciliation of provider’s reasonable and proper actual service costs with the revenues received for 15-minute HCBS intellectual disability waiver supported community living services; HCBS brain injury waiver supported community living services; HCBS children’s mental health waiver family and community support services; and interim medical monitoring and treatment services when provided by an HCBS-certified supported community living services agency under an HCBS intellectual disability waiver, brain injury waiver, and health and disability waiver, as reported on the applicable department form, subject to the upper rate limit allowed in subrule </w:t>
      </w:r>
      <w:hyperlink r:id="rId213">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services provided on or after July 1, 2016, revenues exceeding adjusted actual costs by more than 5.5 percent for fee for service will be remitted to the department. Payment will be due upon notice of the new rates and retrospective rate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does not remit the amount of the overpayment identified in subparagraph </w:t>
      </w:r>
      <w:hyperlink r:id="rId214">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r>
        <w:rPr>
          <w:rFonts w:ascii="Times New Roman" w:hAnsi="Times New Roman"/>
          <w:b w:val="false"/>
          <w:i w:val="false"/>
          <w:color w:val="000000"/>
          <w:sz w:val="22"/>
        </w:rPr>
        <w:t>(2) within 30 days after notice, the department will deduct the amount owed from future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79.1(16)</w:t>
      </w:r>
      <w:r>
        <w:rPr>
          <w:rFonts w:ascii="Times New Roman" w:hAnsi="Times New Roman"/>
          <w:b w:val="false"/>
          <w:i w:val="false"/>
          <w:color w:val="000000"/>
          <w:sz w:val="22"/>
        </w:rPr>
        <w:t> </w:t>
      </w:r>
      <w:r>
        <w:rPr>
          <w:rFonts w:ascii="Times New Roman" w:hAnsi="Times New Roman"/>
          <w:b w:val="false"/>
          <w:i/>
          <w:color w:val="000000"/>
          <w:sz w:val="22"/>
        </w:rPr>
        <w:t xml:space="preserve">Outpatient reimbursement for hospitals.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“Allowable costs”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costs defined as allowable in </w:t>
      </w:r>
      <w:r>
        <w:rPr>
          <w:rFonts w:ascii="Times New Roman" w:hAnsi="Times New Roman"/>
          <w:b w:val="false"/>
          <w:i w:val="false"/>
          <w:color w:val="000000"/>
          <w:sz w:val="22"/>
        </w:rPr>
        <w:t>42 CFR, Chapter IV, Part 413</w:t>
      </w:r>
      <w:r>
        <w:rPr>
          <w:rFonts w:ascii="Times New Roman" w:hAnsi="Times New Roman"/>
          <w:b w:val="false"/>
          <w:i w:val="false"/>
          <w:color w:val="000000"/>
          <w:sz w:val="22"/>
        </w:rPr>
        <w:t>, as amended to July 1, 2026, except for the purposes of calculating direct medical education costs, where only the reported costs of the interns and residents are allowed. Further, costs are allowable only to the extent that they relate to patient care; are reasonable, ordinary, and necessary; and are not in excess of what a prudent and cost-conscious buyer would pay for the given service or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 payment classification”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outpatient service or group of services for which a single rate is set. The services or groups of services are determined according to the typical clinical characteristics, the resource use, and the costs associated with the service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 payment classification relative weight”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“APC relative weight”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relative value assigned to each APC.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“Ancillary service”</w:t>
      </w:r>
      <w:r>
        <w:rPr>
          <w:rFonts w:ascii="Times New Roman" w:hAnsi="Times New Roman"/>
          <w:b w:val="false"/>
          <w:i w:val="false"/>
          <w:color w:val="000000"/>
          <w:sz w:val="22"/>
        </w:rPr>
        <w:t> </w:t>
      </w:r>
      <w:r>
        <w:rPr>
          <w:rFonts w:ascii="Times New Roman" w:hAnsi="Times New Roman"/>
          <w:b w:val="false"/>
          <w:i w:val="false"/>
          <w:color w:val="000000"/>
          <w:sz w:val="22"/>
        </w:rPr>
        <w:t>means a supplemental service that supports the diagnosis or treatment of the patient’s condition. Examples include diagnostic testing or screening services and rehabilitative services such as physical or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“APC service”</w:t>
      </w:r>
      <w:r>
        <w:rPr>
          <w:rFonts w:ascii="Times New Roman" w:hAnsi="Times New Roman"/>
          <w:b w:val="false"/>
          <w:i w:val="false"/>
          <w:color w:val="000000"/>
          <w:sz w:val="22"/>
        </w:rPr>
        <w:t> </w:t>
      </w:r>
      <w:r>
        <w:rPr>
          <w:rFonts w:ascii="Times New Roman" w:hAnsi="Times New Roman"/>
          <w:b w:val="false"/>
          <w:i w:val="false"/>
          <w:color w:val="000000"/>
          <w:sz w:val="22"/>
        </w:rPr>
        <w:t>means a service that is priced and paid using the APC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 year cost report,”</w:t>
      </w:r>
      <w:r>
        <w:rPr>
          <w:rFonts w:ascii="Times New Roman" w:hAnsi="Times New Roman"/>
          <w:b w:val="false"/>
          <w:i w:val="false"/>
          <w:color w:val="000000"/>
          <w:sz w:val="22"/>
        </w:rPr>
        <w:t> </w:t>
      </w:r>
      <w:r>
        <w:rPr>
          <w:rFonts w:ascii="Times New Roman" w:hAnsi="Times New Roman"/>
          <w:b w:val="false"/>
          <w:i w:val="false"/>
          <w:color w:val="000000"/>
          <w:sz w:val="22"/>
        </w:rPr>
        <w:t>for rates effective January 1, 2024, means the hospital’s cost report with fiscal year end on or after January 1, 2022, and before January 1, 2023. Cost reports will be reviewed using Medicare’s cost reporting and cost reimbursement principles for those cost reporting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“Blended base APC rate”</w:t>
      </w:r>
      <w:r>
        <w:rPr>
          <w:rFonts w:ascii="Times New Roman" w:hAnsi="Times New Roman"/>
          <w:b w:val="false"/>
          <w:i w:val="false"/>
          <w:color w:val="000000"/>
          <w:sz w:val="22"/>
        </w:rPr>
        <w:t> </w:t>
      </w:r>
      <w:r>
        <w:rPr>
          <w:rFonts w:ascii="Times New Roman" w:hAnsi="Times New Roman"/>
          <w:b w:val="false"/>
          <w:i w:val="false"/>
          <w:color w:val="000000"/>
          <w:sz w:val="22"/>
        </w:rPr>
        <w:t>means the hospital-specific base APC rate, plus the statewide base APC rate, divided by two. The costs of hospitals receiving reimbursement as critical access hospitals during any of the period included in the base year cost report will not be used in determining the statewide base APC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outlier”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services provided during a single visit that have an extraordinarily high cost as established in paragraph </w:t>
      </w:r>
      <w:hyperlink r:id="rId215">
        <w:r>
          <w:rPr>
            <w:rStyle w:val="Hyperlink"/>
            <w:rFonts w:ascii="Times New Roman" w:hAnsi="Times New Roman"/>
            <w:b w:val="false"/>
            <w:i w:val="false"/>
            <w:color w:val="000000"/>
            <w:sz w:val="22"/>
          </w:rPr>
          <w:t>79.1(16)</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are therefore eligible for additional payments above and beyond the base APC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“Current procedural terminology—fourth edition (CPT-4)”</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“CPT”</w:t>
      </w:r>
      <w:r>
        <w:rPr>
          <w:rFonts w:ascii="Times New Roman" w:hAnsi="Times New Roman"/>
          <w:b w:val="false"/>
          <w:i w:val="false"/>
          <w:color w:val="000000"/>
          <w:sz w:val="22"/>
        </w:rPr>
        <w:t> </w:t>
      </w:r>
      <w:r>
        <w:rPr>
          <w:rFonts w:ascii="Times New Roman" w:hAnsi="Times New Roman"/>
          <w:b w:val="false"/>
          <w:i w:val="false"/>
          <w:color w:val="000000"/>
          <w:sz w:val="22"/>
        </w:rPr>
        <w:t>is the systematic listing and coding of procedures and services provided by physicians or other related health care providers. The CPT-4 coding is maintained by the American Medical Association and is updated yearly. For the purposes of this rule, “CPT” means the coding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service”</w:t>
      </w:r>
      <w:r>
        <w:rPr>
          <w:rFonts w:ascii="Times New Roman" w:hAnsi="Times New Roman"/>
          <w:b w:val="false"/>
          <w:i w:val="false"/>
          <w:color w:val="000000"/>
          <w:sz w:val="22"/>
        </w:rPr>
        <w:t> </w:t>
      </w:r>
      <w:r>
        <w:rPr>
          <w:rFonts w:ascii="Times New Roman" w:hAnsi="Times New Roman"/>
          <w:b w:val="false"/>
          <w:i w:val="false"/>
          <w:color w:val="000000"/>
          <w:sz w:val="22"/>
        </w:rPr>
        <w:t>means an examination or procedure performed to obtain information regarding the medical condition of an outpatient.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medical education costs”</w:t>
      </w:r>
      <w:r>
        <w:rPr>
          <w:rFonts w:ascii="Times New Roman" w:hAnsi="Times New Roman"/>
          <w:b w:val="false"/>
          <w:i w:val="false"/>
          <w:color w:val="000000"/>
          <w:sz w:val="22"/>
        </w:rPr>
        <w:t> </w:t>
      </w:r>
      <w:r>
        <w:rPr>
          <w:rFonts w:ascii="Times New Roman" w:hAnsi="Times New Roman"/>
          <w:b w:val="false"/>
          <w:i w:val="false"/>
          <w:color w:val="000000"/>
          <w:sz w:val="22"/>
        </w:rPr>
        <w:t>means costs directly associated with the medical education of interns and residents or other medical education programs, such as a nursing education program or allied health programs, conducted in an outpatient setting, that qualify for payment as medical education costs under the Medicare program. The amount of direct medical education costs is determined from the hospital base year cost reports in determining the direct medical education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medical education rate”</w:t>
      </w:r>
      <w:r>
        <w:rPr>
          <w:rFonts w:ascii="Times New Roman" w:hAnsi="Times New Roman"/>
          <w:b w:val="false"/>
          <w:i w:val="false"/>
          <w:color w:val="000000"/>
          <w:sz w:val="22"/>
        </w:rPr>
        <w:t> </w:t>
      </w:r>
      <w:r>
        <w:rPr>
          <w:rFonts w:ascii="Times New Roman" w:hAnsi="Times New Roman"/>
          <w:b w:val="false"/>
          <w:i w:val="false"/>
          <w:color w:val="000000"/>
          <w:sz w:val="22"/>
        </w:rPr>
        <w:t>means a rate calculated for a hospital reporting medical education costs on the Medicare cost report (CMS 2552). The rate is calculated using the following formula: Direct medical education costs are multiplied by the factor used to limit aggregate expenditures to available funding and then divided by the sum of outpatient relative discounted APC 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“Discount factor”</w:t>
      </w:r>
      <w:r>
        <w:rPr>
          <w:rFonts w:ascii="Times New Roman" w:hAnsi="Times New Roman"/>
          <w:b w:val="false"/>
          <w:i w:val="false"/>
          <w:color w:val="000000"/>
          <w:sz w:val="22"/>
        </w:rPr>
        <w:t> </w:t>
      </w:r>
      <w:r>
        <w:rPr>
          <w:rFonts w:ascii="Times New Roman" w:hAnsi="Times New Roman"/>
          <w:b w:val="false"/>
          <w:i w:val="false"/>
          <w:color w:val="000000"/>
          <w:sz w:val="22"/>
        </w:rPr>
        <w:t>means the percentage discount applied to additional APCs when more than one APC is provided during the same visit (including the same APC provided more than once). Not all APCs are subject to a discount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“GME/DSH fund apportionment claim set”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hospital’s applicable Medicaid base year cost report. The claim set is updated every three years in July and is modeled using recalibrated weights pursuant to paragraph </w:t>
      </w:r>
      <w:hyperlink r:id="rId216">
        <w:r>
          <w:rPr>
            <w:rStyle w:val="Hyperlink"/>
            <w:rFonts w:ascii="Times New Roman" w:hAnsi="Times New Roman"/>
            <w:b w:val="false"/>
            <w:i w:val="false"/>
            <w:color w:val="000000"/>
            <w:sz w:val="22"/>
          </w:rPr>
          <w:t>79.1(5)</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“Graduate medical education and disproportionate share fund”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“GME/DSH fund”</w:t>
      </w:r>
      <w:r>
        <w:rPr>
          <w:rFonts w:ascii="Times New Roman" w:hAnsi="Times New Roman"/>
          <w:b w:val="false"/>
          <w:i w:val="false"/>
          <w:color w:val="000000"/>
          <w:sz w:val="22"/>
        </w:rPr>
        <w:t> </w:t>
      </w:r>
      <w:r>
        <w:rPr>
          <w:rFonts w:ascii="Times New Roman" w:hAnsi="Times New Roman"/>
          <w:b w:val="false"/>
          <w:i w:val="false"/>
          <w:color w:val="000000"/>
          <w:sz w:val="22"/>
        </w:rPr>
        <w:t>means a reimbursement fund developed as an adjunct reimbursement methodology to directly reimburse qualifying hospitals for the direct costs of interns and residents associated with the operation of graduate medical education programs for outpatient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“Healthcare common procedures coding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“HCPCS”</w:t>
      </w:r>
      <w:r>
        <w:rPr>
          <w:rFonts w:ascii="Times New Roman" w:hAnsi="Times New Roman"/>
          <w:b w:val="false"/>
          <w:i w:val="false"/>
          <w:color w:val="000000"/>
          <w:sz w:val="22"/>
        </w:rPr>
        <w:t> </w:t>
      </w:r>
      <w:r>
        <w:rPr>
          <w:rFonts w:ascii="Times New Roman" w:hAnsi="Times New Roman"/>
          <w:b w:val="false"/>
          <w:i w:val="false"/>
          <w:color w:val="000000"/>
          <w:sz w:val="22"/>
        </w:rPr>
        <w:t>means the national uniform coding method that is maintained by the Centers for Medicare and Medicaid Services (CMS) and that incorporates the CPT and the three HCPCS unique coding levels I, II,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“Hospital-based clinic”</w:t>
      </w:r>
      <w:r>
        <w:rPr>
          <w:rFonts w:ascii="Times New Roman" w:hAnsi="Times New Roman"/>
          <w:b w:val="false"/>
          <w:i w:val="false"/>
          <w:color w:val="000000"/>
          <w:sz w:val="22"/>
        </w:rPr>
        <w:t> </w:t>
      </w:r>
      <w:r>
        <w:rPr>
          <w:rFonts w:ascii="Times New Roman" w:hAnsi="Times New Roman"/>
          <w:b w:val="false"/>
          <w:i w:val="false"/>
          <w:color w:val="000000"/>
          <w:sz w:val="22"/>
        </w:rPr>
        <w:t>means a clinic that is owned by the hospital, operated by the hospital under its hospital license, and on the premises of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 claim set”</w:t>
      </w:r>
      <w:r>
        <w:rPr>
          <w:rFonts w:ascii="Times New Roman" w:hAnsi="Times New Roman"/>
          <w:b w:val="false"/>
          <w:i w:val="false"/>
          <w:color w:val="000000"/>
          <w:sz w:val="22"/>
        </w:rPr>
        <w:t> </w:t>
      </w:r>
      <w:r>
        <w:rPr>
          <w:rFonts w:ascii="Times New Roman" w:hAnsi="Times New Roman"/>
          <w:b w:val="false"/>
          <w:i w:val="false"/>
          <w:color w:val="000000"/>
          <w:sz w:val="22"/>
        </w:rPr>
        <w:t>means the hospital’s applicable Medicaid claims for the period of January 1, 2019, through December 31, 2020, and paid through March 31,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“Modifier”</w:t>
      </w:r>
      <w:r>
        <w:rPr>
          <w:rFonts w:ascii="Times New Roman" w:hAnsi="Times New Roman"/>
          <w:b w:val="false"/>
          <w:i w:val="false"/>
          <w:color w:val="000000"/>
          <w:sz w:val="22"/>
        </w:rPr>
        <w:t> </w:t>
      </w:r>
      <w:r>
        <w:rPr>
          <w:rFonts w:ascii="Times New Roman" w:hAnsi="Times New Roman"/>
          <w:b w:val="false"/>
          <w:i w:val="false"/>
          <w:color w:val="000000"/>
          <w:sz w:val="22"/>
        </w:rPr>
        <w:t>means a two-character code that is added to the procedure code to indicate the type of service performed. The modifier allows the reporting hospital to indicate that a performed service or procedure has been altered by some specific circumstance. The modifier may affect payment or may be used for information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“Multiple significant procedure discounting”</w:t>
      </w:r>
      <w:r>
        <w:rPr>
          <w:rFonts w:ascii="Times New Roman" w:hAnsi="Times New Roman"/>
          <w:b w:val="false"/>
          <w:i w:val="false"/>
          <w:color w:val="000000"/>
          <w:sz w:val="22"/>
        </w:rPr>
        <w:t> </w:t>
      </w:r>
      <w:r>
        <w:rPr>
          <w:rFonts w:ascii="Times New Roman" w:hAnsi="Times New Roman"/>
          <w:b w:val="false"/>
          <w:i w:val="false"/>
          <w:color w:val="000000"/>
          <w:sz w:val="22"/>
        </w:rPr>
        <w:t>means a reduction of the standard payment amount for an APC to recognize that the marginal cost of providing a second APC service to a patient during a single visit is less than the cost of providing that service by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“Observation services”</w:t>
      </w:r>
      <w:r>
        <w:rPr>
          <w:rFonts w:ascii="Times New Roman" w:hAnsi="Times New Roman"/>
          <w:b w:val="false"/>
          <w:i w:val="false"/>
          <w:color w:val="000000"/>
          <w:sz w:val="22"/>
        </w:rPr>
        <w:t> </w:t>
      </w:r>
      <w:r>
        <w:rPr>
          <w:rFonts w:ascii="Times New Roman" w:hAnsi="Times New Roman"/>
          <w:b w:val="false"/>
          <w:i w:val="false"/>
          <w:color w:val="000000"/>
          <w:sz w:val="22"/>
        </w:rPr>
        <w:t>means a set of clinically appropriate services, such as ongoing short-term treatment, assessment, and reassessment, that is provided before a decision can be made regarding whether a patient needs further treatment as a hospital inpatient or is able to be discharged from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“Outpatient hospital services”</w:t>
      </w:r>
      <w:r>
        <w:rPr>
          <w:rFonts w:ascii="Times New Roman" w:hAnsi="Times New Roman"/>
          <w:b w:val="false"/>
          <w:i w:val="false"/>
          <w:color w:val="000000"/>
          <w:sz w:val="22"/>
        </w:rPr>
        <w:t> </w:t>
      </w:r>
      <w:r>
        <w:rPr>
          <w:rFonts w:ascii="Times New Roman" w:hAnsi="Times New Roman"/>
          <w:b w:val="false"/>
          <w:i w:val="false"/>
          <w:color w:val="000000"/>
          <w:sz w:val="22"/>
        </w:rPr>
        <w:t>means preventive, diagnostic, therapeutic, observation, rehabilitation, or palliative services provided to an outpatient by or under the direction of a physician, dentist, or other practitioner by an institution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licensed or formally approved as a hospital by the officially designated authority in the state where the institution is located;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Meets the requirements for participation in Medicare as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“Outpatient prospective payment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“OPPS”</w:t>
      </w:r>
      <w:r>
        <w:rPr>
          <w:rFonts w:ascii="Times New Roman" w:hAnsi="Times New Roman"/>
          <w:b w:val="false"/>
          <w:i w:val="false"/>
          <w:color w:val="000000"/>
          <w:sz w:val="22"/>
        </w:rPr>
        <w:t> </w:t>
      </w:r>
      <w:r>
        <w:rPr>
          <w:rFonts w:ascii="Times New Roman" w:hAnsi="Times New Roman"/>
          <w:b w:val="false"/>
          <w:i w:val="false"/>
          <w:color w:val="000000"/>
          <w:sz w:val="22"/>
        </w:rPr>
        <w:t>means the payment methodology for hospital outpatient services established by this subrule and based on Medicare’s outpatient prospective payment system mandated by the Balanced Budget Refinement Act of 1999 as amended to July 1, 2026, and the Medicare, Medicaid and SCHIP Benefits Improvement and Protection Act of 2000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“Outpatient visit”</w:t>
      </w:r>
      <w:r>
        <w:rPr>
          <w:rFonts w:ascii="Times New Roman" w:hAnsi="Times New Roman"/>
          <w:b w:val="false"/>
          <w:i w:val="false"/>
          <w:color w:val="000000"/>
          <w:sz w:val="22"/>
        </w:rPr>
        <w:t> </w:t>
      </w:r>
      <w:r>
        <w:rPr>
          <w:rFonts w:ascii="Times New Roman" w:hAnsi="Times New Roman"/>
          <w:b w:val="false"/>
          <w:i w:val="false"/>
          <w:color w:val="000000"/>
          <w:sz w:val="22"/>
        </w:rPr>
        <w:t>means those hospital-based outpatient services that are billed on a single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“Packaged service”</w:t>
      </w:r>
      <w:r>
        <w:rPr>
          <w:rFonts w:ascii="Times New Roman" w:hAnsi="Times New Roman"/>
          <w:b w:val="false"/>
          <w:i w:val="false"/>
          <w:color w:val="000000"/>
          <w:sz w:val="22"/>
        </w:rPr>
        <w:t> </w:t>
      </w:r>
      <w:r>
        <w:rPr>
          <w:rFonts w:ascii="Times New Roman" w:hAnsi="Times New Roman"/>
          <w:b w:val="false"/>
          <w:i w:val="false"/>
          <w:color w:val="000000"/>
          <w:sz w:val="22"/>
        </w:rPr>
        <w:t>means a service that is secondary to other services but is considered an integral part of another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“Pass-through”</w:t>
      </w:r>
      <w:r>
        <w:rPr>
          <w:rFonts w:ascii="Times New Roman" w:hAnsi="Times New Roman"/>
          <w:b w:val="false"/>
          <w:i w:val="false"/>
          <w:color w:val="000000"/>
          <w:sz w:val="22"/>
        </w:rPr>
        <w:t> </w:t>
      </w:r>
      <w:r>
        <w:rPr>
          <w:rFonts w:ascii="Times New Roman" w:hAnsi="Times New Roman"/>
          <w:b w:val="false"/>
          <w:i w:val="false"/>
          <w:color w:val="000000"/>
          <w:sz w:val="22"/>
        </w:rPr>
        <w:t>means certain drugs, devices, and biologicals for which providers are entitled to payment separate from any APC.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“Rebasing”</w:t>
      </w:r>
      <w:r>
        <w:rPr>
          <w:rFonts w:ascii="Times New Roman" w:hAnsi="Times New Roman"/>
          <w:b w:val="false"/>
          <w:i w:val="false"/>
          <w:color w:val="000000"/>
          <w:sz w:val="22"/>
        </w:rPr>
        <w:t> </w:t>
      </w:r>
      <w:r>
        <w:rPr>
          <w:rFonts w:ascii="Times New Roman" w:hAnsi="Times New Roman"/>
          <w:b w:val="false"/>
          <w:i w:val="false"/>
          <w:color w:val="000000"/>
          <w:sz w:val="22"/>
        </w:rPr>
        <w:t>means the redetermination of the blended base APC rate using more recent Medicaid cost report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procedure”</w:t>
      </w:r>
      <w:r>
        <w:rPr>
          <w:rFonts w:ascii="Times New Roman" w:hAnsi="Times New Roman"/>
          <w:b w:val="false"/>
          <w:i w:val="false"/>
          <w:color w:val="000000"/>
          <w:sz w:val="22"/>
        </w:rPr>
        <w:t> </w:t>
      </w:r>
      <w:r>
        <w:rPr>
          <w:rFonts w:ascii="Times New Roman" w:hAnsi="Times New Roman"/>
          <w:b w:val="false"/>
          <w:i w:val="false"/>
          <w:color w:val="000000"/>
          <w:sz w:val="22"/>
        </w:rPr>
        <w:t>means the procedure, therapy, or service provided to a patient that constitutes the primary reason for the visit and dominates the time and resources expended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“Status indicator”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“SI”</w:t>
      </w:r>
      <w:r>
        <w:rPr>
          <w:rFonts w:ascii="Times New Roman" w:hAnsi="Times New Roman"/>
          <w:b w:val="false"/>
          <w:i w:val="false"/>
          <w:color w:val="000000"/>
          <w:sz w:val="22"/>
        </w:rPr>
        <w:t> </w:t>
      </w:r>
      <w:r>
        <w:rPr>
          <w:rFonts w:ascii="Times New Roman" w:hAnsi="Times New Roman"/>
          <w:b w:val="false"/>
          <w:i w:val="false"/>
          <w:color w:val="000000"/>
          <w:sz w:val="22"/>
        </w:rPr>
        <w:t>means a payment indicator that identifies whether a service represented by a CPT or HCPCS code is payable under the OPPS APC or another payment system. Only one status indicator is assigned to each CPT or HCPCS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Outpatient hospital services. </w:t>
      </w:r>
      <w:r>
        <w:rPr>
          <w:rFonts w:ascii="Times New Roman" w:hAnsi="Times New Roman"/>
          <w:b w:val="false"/>
          <w:i w:val="false"/>
          <w:color w:val="000000"/>
          <w:sz w:val="22"/>
        </w:rPr>
        <w:t xml:space="preserve">Medicaid adopts the Medicare categories of hospitals and services subject to and excluded from the hospital outpatient prospective payment system (OPPS) at </w:t>
      </w:r>
      <w:r>
        <w:rPr>
          <w:rFonts w:ascii="Times New Roman" w:hAnsi="Times New Roman"/>
          <w:b w:val="false"/>
          <w:i w:val="false"/>
          <w:color w:val="000000"/>
          <w:sz w:val="22"/>
        </w:rPr>
        <w:t>42 CFR 419.20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419.22</w:t>
      </w:r>
      <w:r>
        <w:rPr>
          <w:rFonts w:ascii="Times New Roman" w:hAnsi="Times New Roman"/>
          <w:b w:val="false"/>
          <w:i w:val="false"/>
          <w:color w:val="000000"/>
          <w:sz w:val="22"/>
        </w:rPr>
        <w:t xml:space="preserve"> as amended to July 1, 2026, except as indicated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teaching hospital that has approval from the Centers for Medicare and Medicaid Services (CMS) to receive reasonable cost reimbursement for physician services under </w:t>
      </w:r>
      <w:r>
        <w:rPr>
          <w:rFonts w:ascii="Times New Roman" w:hAnsi="Times New Roman"/>
          <w:b w:val="false"/>
          <w:i w:val="false"/>
          <w:color w:val="000000"/>
          <w:sz w:val="22"/>
        </w:rPr>
        <w:t>42 CFR 415.160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415.162</w:t>
      </w:r>
      <w:r>
        <w:rPr>
          <w:rFonts w:ascii="Times New Roman" w:hAnsi="Times New Roman"/>
          <w:b w:val="false"/>
          <w:i w:val="false"/>
          <w:color w:val="000000"/>
          <w:sz w:val="22"/>
        </w:rPr>
        <w:t xml:space="preserve"> as amended to July 1, 2026, is eligible for combined billing status if the hospital has filed the approval notice with Iowa Medicaid. If a teaching hospital elects to receive reasonable cost payment for physician direct medical and surgical services furnished to Medicaid members, those services and the supervision of interns and residents furnishing the care to members are covered as hospital services and are combined with the bill for hospital service. Cost settlement for the reasonable costs related to physician direct medical and surgical services will be made after receipt of the hospital’s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hospital-based ambulance service must be an enrolled Medicaid ambulance provider and must bill separately for ambulance services. </w:t>
      </w:r>
      <w:r>
        <w:rPr>
          <w:rFonts w:ascii="Times New Roman" w:hAnsi="Times New Roman"/>
          <w:b w:val="false"/>
          <w:i w:val="false"/>
          <w:color w:val="000000"/>
          <w:sz w:val="22"/>
        </w:rPr>
        <w:t>EXCEPTION</w:t>
      </w:r>
      <w:r>
        <w:rPr>
          <w:rFonts w:ascii="Times New Roman" w:hAnsi="Times New Roman"/>
          <w:b w:val="false"/>
          <w:i w:val="false"/>
          <w:color w:val="000000"/>
          <w:sz w:val="22"/>
        </w:rPr>
        <w:t>: If the member’s condition results in an inpatient admission to the hospital, the reimbursement for ambulance services is included in the hospital’s DRG reimbursement rate for the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for outpatient hospital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Outpatient hospital services will be reimbursed according to the first of the following methodologies that applies to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specific rate or methodology established by rule for the particular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OPPS APC rates established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Fee schedule rates established pursuant to paragraph </w:t>
      </w:r>
      <w:hyperlink r:id="rId217">
        <w:r>
          <w:rPr>
            <w:rStyle w:val="Hyperlink"/>
            <w:rFonts w:ascii="Times New Roman" w:hAnsi="Times New Roman"/>
            <w:b w:val="false"/>
            <w:i w:val="false"/>
            <w:color w:val="000000"/>
            <w:sz w:val="22"/>
          </w:rPr>
          <w:t>79.1(1)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18">
        <w:r>
          <w:rPr>
            <w:rStyle w:val="Hyperlink"/>
            <w:rFonts w:ascii="Times New Roman" w:hAnsi="Times New Roman"/>
            <w:b w:val="false"/>
            <w:i w:val="false"/>
            <w:color w:val="000000"/>
            <w:sz w:val="22"/>
          </w:rPr>
          <w:t>79.1(16)</w:t>
        </w:r>
        <w:r>
          <w:rPr>
            <w:rFonts w:ascii="Times New Roman" w:hAnsi="Times New Roman"/>
            <w:b w:val="false"/>
            <w:i/>
            <w:color w:val="000000"/>
            <w:sz w:val="22"/>
          </w:rPr>
          <w:t>“h,”</w:t>
        </w:r>
      </w:hyperlink>
      <w:r>
        <w:rPr>
          <w:rFonts w:ascii="Times New Roman" w:hAnsi="Times New Roman"/>
          <w:b w:val="false"/>
          <w:i w:val="false"/>
          <w:color w:val="000000"/>
          <w:sz w:val="22"/>
        </w:rPr>
        <w:t xml:space="preserve"> outpatient hospital services that have been assigned to an APC with an assigned weight will be reimbursed based on the APC to which the services provided are assigned. The department adopts and incorporates by reference the OPPS APCs and relative weights effective January 1, 2008, published on November 27, 2007, as final by the Centers for Medicare and Medicaid Services in the Federal Register at Volume 72, No. 227, page 66579. Relative weights and APCs will be updated pursuant to paragraph </w:t>
      </w:r>
      <w:hyperlink r:id="rId219">
        <w:r>
          <w:rPr>
            <w:rStyle w:val="Hyperlink"/>
            <w:rFonts w:ascii="Times New Roman" w:hAnsi="Times New Roman"/>
            <w:b w:val="false"/>
            <w:i w:val="false"/>
            <w:color w:val="000000"/>
            <w:sz w:val="22"/>
          </w:rPr>
          <w:t>79.1(16)</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APC payment is calculated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APC relative weight is multiplied by the blended base APC rate determined according to paragraph </w:t>
      </w:r>
      <w:hyperlink r:id="rId220">
        <w:r>
          <w:rPr>
            <w:rStyle w:val="Hyperlink"/>
            <w:rFonts w:ascii="Times New Roman" w:hAnsi="Times New Roman"/>
            <w:b w:val="false"/>
            <w:i w:val="false"/>
            <w:color w:val="000000"/>
            <w:sz w:val="22"/>
          </w:rPr>
          <w:t>79.1(16)</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resulting APC payment is multiplied by a discount factor and by units of service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procedure started but discontinued before completion, the department will pay 50 percent of the APC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OPPS APC payment status indicators show whether a service represented by a CPT or HCPCS code is payable under an OPPS APC or under another payment system and whether particular OPPS policies apply to the code. The following table lists the status indicators and definitions for both services that are paid under an OPPS APC and services that are not paid under an OPPS APC.</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5376"/>
        <w:gridCol w:w="4800"/>
      </w:tblGrid>
      <w:tr>
        <w:trPr>
          <w:trHeight w:val="2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Indicator</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Item, Code, or Service</w:t>
            </w:r>
          </w:p>
        </w:tc>
        <w:tc>
          <w:tcPr>
            <w:tcW w:w="48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OPPS Payment Status</w:t>
            </w:r>
          </w:p>
        </w:tc>
      </w:tr>
      <w:tr>
        <w:trPr>
          <w:trHeight w:val="20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Services furnished to a hospital outpatient that are paid by Medicare under a fee schedule or payment system other than OPPS, such as: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Ambulance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Separately payable clinical diagnostic laboratory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Diagnostic mammography.</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Screening mammography.</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Separately payable nonimplantable prosthetic and orthotic devices.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Physical, occupational, and speech therapy.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For services covered by Iowa Medicaid as an outpatient hospital service, the service is not paid under OPPS APC, but is paid based on the Iowa Medicaid fee schedule for outpatient hospital services established pursuant to </w:t>
            </w:r>
            <w:hyperlink r:id="rId221">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services not covered by Iowa Medicaid as an outpatient hospital service, the service is not paid under OPPS APC but may be paid by Iowa Medicaid under the specific rate or methodology established by other rules (other than outpatient hospital).</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Codes that are not paid by Medicare on an outpatient hospital basis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Not paid under OPPS APC.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May be paid when submitted on a different bill type other than outpatient hospital (13x).</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An alternate code that is payable when submitted on an outpatient hospital bill type (13x) may be available.</w:t>
            </w:r>
          </w:p>
        </w:tc>
      </w:tr>
      <w:tr>
        <w:trPr>
          <w:trHeight w:val="15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Inpatient procedures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as an outpatient hospital service, the service is not paid under OPPS APC, but is paid based on the Iowa Medicaid fee schedule for outpatient hospital services established pursuant to </w:t>
            </w:r>
            <w:hyperlink r:id="rId222">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as an outpatient hospital service, the service is not paid under OPPS APC. Admit the patient and bill as inpatient care.</w:t>
            </w:r>
          </w:p>
        </w:tc>
      </w:tr>
      <w:tr>
        <w:trPr>
          <w:trHeight w:val="40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Discontinued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paid under OPPS APC or any other Medicaid payment system.</w:t>
            </w:r>
          </w:p>
        </w:tc>
      </w:tr>
      <w:tr>
        <w:trPr>
          <w:trHeight w:val="15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Items, codes, and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That are not covered by Medicare based on statutory exclusion and may or may not be covered by Iowa Medicaid; or</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That are not covered by Medicare for reasons other than statutory exclusion and may or may not be covered by Iowa Medicaid.</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item, code, or service is not paid under OPPS APC, but is paid based on the Iowa Medicaid fee schedule for outpatient hospital services established pursuant to </w:t>
            </w:r>
            <w:hyperlink r:id="rId223">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code, or service is not paid under OPPS APC or any other Medicaid payment system.</w:t>
            </w:r>
          </w:p>
        </w:tc>
      </w:tr>
      <w:tr>
        <w:trPr>
          <w:trHeight w:val="157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Items, codes, and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That are not recognized by Medicare but for which an alternate code for the same item or service may be available under Iowa Medicaid; or</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For which separate payment is not provided by Medicare but may be provided by Iowa Medicaid.</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If covered by Iowa Medicaid, the item, code, or service is not paid under OPPS APC, but is paid based on the Iowa Medicaid fee schedule for outpatient hospital services established pursuant to </w:t>
            </w:r>
            <w:hyperlink r:id="rId224">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r>
              <w:br/>
            </w:r>
            <w:r>
              <w:rPr>
                <w:rFonts w:ascii="Times New Roman" w:hAnsi="Times New Roman"/>
                <w:b w:val="false"/>
                <w:i w:val="false"/>
                <w:color w:val="000000"/>
                <w:sz w:val="16"/>
              </w:rPr>
              <w:t>If not covered by Iowa Medicaid, the item, code, or service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Certified registered nurse anesthetist services</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Corneal tissue acquisition</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Hepatitis B vaccines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item or service is not paid under OPPS APC, but is paid based on the Iowa Medicaid fee schedule for outpatient hospital services established pursuant to </w:t>
            </w:r>
            <w:hyperlink r:id="rId225">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or service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Pass-through drugs and biologicals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item is not paid under OPPS APC, but is paid based on the Iowa Medicaid fee schedule for outpatient hospital services established pursuant to </w:t>
            </w:r>
            <w:hyperlink r:id="rId226">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Pass-through device categories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device is not paid under OPPS APC, but is paid based on the Iowa Medicaid fee schedule for outpatient hospital services established pursuant to </w:t>
            </w:r>
            <w:hyperlink r:id="rId227">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device is not paid under OPPS APC or any other Medicaid payment system.</w:t>
            </w:r>
          </w:p>
        </w:tc>
      </w:tr>
      <w:tr>
        <w:trPr>
          <w:trHeight w:val="14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 Part B services paid through a comprehensive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covered by Iowa Medicaid, the service is paid under OPPS APC. All covered Part B services on the claim, except services with OPPS SI=F, G, H, L, and U; ambulance services; diagnostic and screening mammography; and all preventive services. If not covered by Iowa Medicaid, the device is not paid under OPPS APC or any other Medicaid payment system.</w:t>
            </w:r>
          </w:p>
        </w:tc>
      </w:tr>
      <w:tr>
        <w:trPr>
          <w:trHeight w:val="24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 Part B services that may be paid through a comprehensive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item is: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Paid under OPPS APC with a separate APC payment when both an APC and an APC weight are established.</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 xml:space="preserve">Paid based on the Iowa Medicaid fee schedule for outpatient hospital services established pursuant to </w:t>
            </w:r>
            <w:hyperlink r:id="rId228">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r>
              <w:rPr>
                <w:rFonts w:ascii="Times New Roman" w:hAnsi="Times New Roman"/>
                <w:b w:val="false"/>
                <w:i w:val="false"/>
                <w:color w:val="000000"/>
                <w:sz w:val="16"/>
              </w:rPr>
              <w:t xml:space="preserve"> when either no APC or APC weight is established.</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In other circumstances, payment is made through a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device is not paid under OPPS APC or any other Medicaid payment system.</w:t>
            </w:r>
          </w:p>
        </w:tc>
      </w:tr>
      <w:tr>
        <w:trPr>
          <w:trHeight w:val="213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K</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Non-pass-through drugs and biologicals</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Therapeutic radiopharmaceuticals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item is: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Paid under OPPS APC with a separate APC payment when both an APC and an APC weight are established.</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 xml:space="preserve">Paid based on the Iowa Medicaid fee schedule for outpatient hospital services established pursuant to </w:t>
            </w:r>
            <w:hyperlink r:id="rId229">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r>
              <w:rPr>
                <w:rFonts w:ascii="Times New Roman" w:hAnsi="Times New Roman"/>
                <w:b w:val="false"/>
                <w:i w:val="false"/>
                <w:color w:val="000000"/>
                <w:sz w:val="16"/>
              </w:rPr>
              <w:t xml:space="preserve"> when either no APC or APC weight is established.</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Influenza vaccine</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Pneumococcal pneumonia vaccine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vaccine is not paid under OPPS APC, but is paid based on the Iowa Medicaid fee schedule for outpatient hospital services established pursuant to </w:t>
            </w:r>
            <w:hyperlink r:id="rId230">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vaccine is not paid under OPPS APC or any other Medicaid payment system.</w:t>
            </w:r>
          </w:p>
        </w:tc>
      </w:tr>
      <w:tr>
        <w:trPr>
          <w:trHeight w:val="17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Items and services not billable to the Medicare fiscal intermediary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item or service is not paid under OPPS APC, but is paid based on the Iowa Medicaid fee schedule for outpatient hospital services established pursuant to </w:t>
            </w:r>
            <w:hyperlink r:id="rId231">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or service is not paid under OPPS APC or any other Medicaid payment system.</w:t>
            </w:r>
          </w:p>
        </w:tc>
      </w:tr>
      <w:tr>
        <w:trPr>
          <w:trHeight w:val="58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Packaged services not subject to separate payment under Medicare OPPS payment criteria</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Paid under OPPS APC. Payment, including outliers, is included with payment for other services; therefore, no separate payment is made.</w:t>
            </w:r>
          </w:p>
        </w:tc>
      </w:tr>
      <w:tr>
        <w:trPr>
          <w:trHeight w:val="2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Partial hospitalization</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a covered service under Iowa Medicaid.</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STV-packaged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Paid under OPPS APC.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Packaged APC payment if billed on the same date of service as HCPCS code assigned status indicator “S,” “T,” or “V.”</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In all other circumstances, payment is made through a separate APC payment.</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T-packaged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Paid under OPPS APC.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Packaged APC payment if billed on the same date of service as HCPCS code assigned status indicator “T.”</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In all other circumstances, payment is made through a separate APC payment.</w:t>
            </w:r>
          </w:p>
        </w:tc>
      </w:tr>
      <w:tr>
        <w:trPr>
          <w:trHeight w:val="14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Q3</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Codes that may be paid through a composite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Paid under OPPS APC.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Composite APC payment based on OPPS composite-specific payment criteria. Payment is packaged into a single payment for specific combinations of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In other circumstances, payment is made through a separate APC payment or packaged into payment for other services.</w:t>
            </w:r>
          </w:p>
        </w:tc>
      </w:tr>
      <w:tr>
        <w:trPr>
          <w:trHeight w:val="20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Q4</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Conditionally packaged laboratory tests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Paid under OPPS APC or Iowa Medicaid fee schedule for outpatient hospital services established pursuant to </w:t>
            </w:r>
            <w:hyperlink r:id="rId232">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Packaged APC payment if billed on the same claim as HCPCS code assigned published status indicator “J1,” “J2,” “S,” “T,” “V,” “Q1,” “Q2,” or “Q3.”</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 xml:space="preserve">In other circumstances, laboratory tests should have a status indicator of “A” and payment is made under the Iowa Medicaid fee schedule for outpatient hospital services established pursuant to </w:t>
            </w:r>
            <w:hyperlink r:id="rId233">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p>
        </w:tc>
      </w:tr>
      <w:tr>
        <w:trPr>
          <w:trHeight w:val="10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and blood products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item is paid under OPPS APC with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10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Significant procedure, not discounted when multiple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procedure is paid under OPPS APC with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124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Significant procedure, multiple reduction applies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procedure is paid under OPPS APC with separate APC payment subject to multiple reduction.</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10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Brachytherapy sources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procedure is paid under OPPS APC with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168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Clinic or emergency department visit</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service is paid under OPPS APC with separate APC payment, subject to limits on nonemergency services provided in an emergency room pursuant to </w:t>
            </w:r>
            <w:hyperlink r:id="rId234">
              <w:r>
                <w:rPr>
                  <w:rStyle w:val="Hyperlink"/>
                  <w:rFonts w:ascii="Times New Roman" w:hAnsi="Times New Roman"/>
                  <w:b w:val="false"/>
                  <w:i w:val="false"/>
                  <w:color w:val="000000"/>
                  <w:sz w:val="16"/>
                </w:rPr>
                <w:t>79.1(16)</w:t>
              </w:r>
              <w:r>
                <w:rPr>
                  <w:rFonts w:ascii="Times New Roman" w:hAnsi="Times New Roman"/>
                  <w:b w:val="false"/>
                  <w:i/>
                  <w:color w:val="000000"/>
                  <w:sz w:val="16"/>
                </w:rPr>
                <w:t>“r.”</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service is not paid under OPPS APC or any other Medicaid payment system.</w:t>
            </w:r>
          </w:p>
        </w:tc>
      </w:tr>
      <w:tr>
        <w:trPr>
          <w:trHeight w:val="213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Nonimplantable durable medical equipment</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For items covered by Iowa Medicaid as an outpatient hospital service, the item is not paid under OPPS APC, but is paid based on the Iowa Medicaid fee schedule for outpatient hospital services established pursuant to </w:t>
            </w:r>
            <w:hyperlink r:id="rId235">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items not covered by Iowa Medicaid as an outpatient hospital service, the item is not paid as an outpatient hospital service, but may be paid by Iowa Medicaid under the specific rate or methodology established by other rules (other than outpatient hospital).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hospital-specific base APC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the hospital’s base year cost report, hospital-specific outpatient cost-to-charge ratios are calculated for each ancillary and outpatient cost center of the Medicare cost report, Form CMS 2552.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cost-to-charge ratios are applied to each line-item charge reported on claims from the Medicaid claim set to calculate the Medicaid cost per service. The hospital’s total outpatient Medicaid cost is the sum of the Medicaid cost per service for all line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items are subtracted from the hospital’s total outpatient Medicaid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direct medical education cost for interns and residents based on the hospital’s base year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calculated Medicaid cost for services listed at </w:t>
      </w:r>
      <w:hyperlink r:id="rId236">
        <w:r>
          <w:rPr>
            <w:rStyle w:val="Hyperlink"/>
            <w:rFonts w:ascii="Times New Roman" w:hAnsi="Times New Roman"/>
            <w:b w:val="false"/>
            <w:i w:val="false"/>
            <w:color w:val="000000"/>
            <w:sz w:val="22"/>
          </w:rPr>
          <w:t>441—paragraphs 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cost for 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cost for services paid based on the Iowa Medicaid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remaining amount is multiplied by a factor to limit aggregate expenditures to available funding and then divided by the hospital-specific sum of relative discounted APC weights in the Medicaid claim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Hospital-specific base APC rates are not computed for hospitals receiving reimbursement as critical access hospitals during any of the period included in the base year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Calculation of statewide base APC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statewide average base APC rate is calculated by summing the outpatient Medicaid cost for all hospitals and subtracting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direct medical education cost for interns and residents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calculated Medicaid cost for services listed at </w:t>
      </w:r>
      <w:hyperlink r:id="rId237">
        <w:r>
          <w:rPr>
            <w:rStyle w:val="Hyperlink"/>
            <w:rFonts w:ascii="Times New Roman" w:hAnsi="Times New Roman"/>
            <w:b w:val="false"/>
            <w:i w:val="false"/>
            <w:color w:val="000000"/>
            <w:sz w:val="22"/>
          </w:rPr>
          <w:t>441—paragraphs 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“n,”</w:t>
      </w:r>
      <w:r>
        <w:rPr>
          <w:rFonts w:ascii="Times New Roman" w:hAnsi="Times New Roman"/>
          <w:b w:val="false"/>
          <w:i w:val="false"/>
          <w:color w:val="000000"/>
          <w:sz w:val="22"/>
        </w:rPr>
        <w:t xml:space="preserve">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cost for ambulance services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cost for services paid based on the Iowa Medicaid fee schedule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resulting amount is multiplied by a factor to maintain expenditures within the amount appropriated to the department for this purpose and then divided by the sum of relative discounted APC weights in the Medicaid claim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Data for hospitals receiving reimbursement as critical access hospitals during any of the period included in the base year cost report is not used in calculating the statewide average base APC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Cost outlier payment policy. </w:t>
      </w:r>
      <w:r>
        <w:rPr>
          <w:rFonts w:ascii="Times New Roman" w:hAnsi="Times New Roman"/>
          <w:b w:val="false"/>
          <w:i w:val="false"/>
          <w:color w:val="000000"/>
          <w:sz w:val="22"/>
        </w:rPr>
        <w:t>Additional payment is made for services provided during a single visit that exceed the following Medicaid criteria of cost outliers for each APC. Outlier payments are determined on an APC-by-APC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APC qualifies as a cost outlier when the cost of the service exceeds both the multiple threshold and the fixed-dollar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multiple threshold is met when the cost of furnishing an APC service exceeds 1.75 times the APC 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fixed-dollar threshold is met when the cost of furnishing an APC service exceeds the APC payment amount plus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both the multiple threshold and the fixed-dollar threshold are met, the outlier payment is calculated as 50 percent of the amount by which the hospital’s cost of furnishing the APC service or procedure exceeds the multiple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cost of furnishing the APC service or procedure is calculated using a single overall hospital-specific cost-to-charge ratio determined from the base year cost report. Costs appearing on a claim that are attributable to packaged APC services for which no separate payment is made are allocated to all nonpackaged APC services that appear on that claim. The amount allocated to each nonpackaged APC service is based on the proportion the APC payment rate for that APC service bears to the total APC rates for all nonpackaged APC services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Payment to critical access hospitals. </w:t>
      </w:r>
      <w:r>
        <w:rPr>
          <w:rFonts w:ascii="Times New Roman" w:hAnsi="Times New Roman"/>
          <w:b w:val="false"/>
          <w:i w:val="false"/>
          <w:color w:val="000000"/>
          <w:sz w:val="22"/>
        </w:rPr>
        <w:t xml:space="preserve">Initial, interim payments to critical access hospitals as defined in paragraph </w:t>
      </w:r>
      <w:hyperlink r:id="rId238">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will be the hospital’s line-item charge multiplied by the hospital’s Medicaid outpatient cost-to-charge ratio. These interim payments are subject to annual retrospective adjustment equal to the difference between the reasonable costs of covered services provided to eligible fee-for-service Medicaid members (excluding members in managed care) and the Medicaid reimbursement received. The department will determine the reasonable costs of services based on the hospital’s annual cost reports and Medicare cost principles. When the interim amounts paid exceed reasonable costs, the department will recover the difference.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any retrospective adjustment, the department will update the cost-to-charge ratio to reflect as accurately as is possible the reasonable costs of providing the covered service to eligible fee-for-service Medicaid members for the coming year. The department will base these changes on the most recent utilization as submitted to the Iowa Medicaid and Medicare cost principles. Providers may be eligible for an “add-on” to the cost-to-charge ratio based on eligibility to participate in the annual Critical Access Hospital Cost Adjustment Factor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hospital begins receiving reimbursement as a critical access hospital, the cost-to-charge ratio is not subject to rebasing as provided in paragraph </w:t>
      </w:r>
      <w:hyperlink r:id="rId239">
        <w:r>
          <w:rPr>
            <w:rStyle w:val="Hyperlink"/>
            <w:rFonts w:ascii="Times New Roman" w:hAnsi="Times New Roman"/>
            <w:b w:val="false"/>
            <w:i w:val="false"/>
            <w:color w:val="000000"/>
            <w:sz w:val="22"/>
          </w:rPr>
          <w:t>79.1(16)</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Cost-reporting requirements. </w:t>
      </w:r>
      <w:r>
        <w:rPr>
          <w:rFonts w:ascii="Times New Roman" w:hAnsi="Times New Roman"/>
          <w:b w:val="false"/>
          <w:i w:val="false"/>
          <w:color w:val="000000"/>
          <w:sz w:val="22"/>
        </w:rPr>
        <w:t>Hospitals shall prepare annual cost reports in accordance with generally accepted accounting principles as defined by the American Institute of Certified Public Accountants and in accordance with Medicare Provider Reimbursement Manual, CMS Publication 15 as amended to July 1, 2026, subject to the exceptions and limitations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electronic media, each hospital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hospital’s Medicare cost report (Form CMS 2552, Hospitals and Healthcare Complex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Either the Critical Access Hospital Supplemental Cost Report or the Hospital Supplemental Cost Report;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revenue code crosswalk used to prepare the Medicare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reports and supporting documentation shall be sent to Iowa Medicaid at the department’s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reports shall be submitted on or before the last day of the fifth calendar month following the close of the period covered by the report. For fiscal periods ending on a day other than the last day of the month, cost reports are due 150 days after the last day of the cost-reporting period. Extensions of the due date for filing a cost report granted by the Medicare fiscal intermediary shall be accepted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Rebasing.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2009, and annually thereafter, the department will update the OPPS APC relative weights using the most current calendar update as published by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2009, and every three years thereafter, blended base APC rates will be rebased. Cost reports used in rebasing will be the hospital fiscal year-end Form CMS 2552, Hospital and Healthcare Complex Cost Report, as submitted to Medicare in accordance with Medicare cost report submission timelines for the hospital fiscal year ending during the preceding calendar year. If a hospital does not provide this cost report, including the Medicaid cost report and revenue code crosswalk, to Iowa Medicaid by May 31 of a year in which rebasing occurs, the most recent submitted cost report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2009, and every three years thereafter, case-mix indices will be recalculated using valid claims most nearly matching each hospital’s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graduate medical education and disproportionate share fund will be updated as provided in subparagraph </w:t>
      </w:r>
      <w:hyperlink r:id="rId240">
        <w:r>
          <w:rPr>
            <w:rStyle w:val="Hyperlink"/>
            <w:rFonts w:ascii="Times New Roman" w:hAnsi="Times New Roman"/>
            <w:b w:val="false"/>
            <w:i w:val="false"/>
            <w:color w:val="000000"/>
            <w:sz w:val="22"/>
          </w:rPr>
          <w:t>79.1(16)</w:t>
        </w:r>
        <w:r>
          <w:rPr>
            <w:rFonts w:ascii="Times New Roman" w:hAnsi="Times New Roman"/>
            <w:b w:val="false"/>
            <w:i/>
            <w:color w:val="000000"/>
            <w:sz w:val="22"/>
          </w:rPr>
          <w:t>“v”</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Payment to out-of-state hospitals. </w:t>
      </w:r>
      <w:r>
        <w:rPr>
          <w:rFonts w:ascii="Times New Roman" w:hAnsi="Times New Roman"/>
          <w:b w:val="false"/>
          <w:i w:val="false"/>
          <w:color w:val="000000"/>
          <w:sz w:val="22"/>
        </w:rPr>
        <w:t xml:space="preserve">Out-of-state hospitals providing care to members of Iowa’s Medicaid program will be reimbursed in the same manner as Iowa hospitals, except as provided in subparagraphs </w:t>
      </w:r>
      <w:hyperlink r:id="rId241">
        <w:r>
          <w:rPr>
            <w:rStyle w:val="Hyperlink"/>
            <w:rFonts w:ascii="Times New Roman" w:hAnsi="Times New Roman"/>
            <w:b w:val="false"/>
            <w:i w:val="false"/>
            <w:color w:val="000000"/>
            <w:sz w:val="22"/>
          </w:rPr>
          <w:t>79.1(16)</w:t>
        </w:r>
      </w:hyperlink>
      <w:r>
        <w:rPr>
          <w:rFonts w:ascii="Times New Roman" w:hAnsi="Times New Roman"/>
          <w:b w:val="false"/>
          <w:i/>
          <w:color w:val="000000"/>
          <w:sz w:val="22"/>
        </w:rPr>
        <w:t>“k”</w:t>
      </w:r>
      <w:r>
        <w:rPr>
          <w:rFonts w:ascii="Times New Roman" w:hAnsi="Times New Roman"/>
          <w:b w:val="false"/>
          <w:i w:val="false"/>
          <w:color w:val="000000"/>
          <w:sz w:val="22"/>
        </w:rPr>
        <w:t xml:space="preserve">(1) and </w:t>
      </w:r>
      <w:r>
        <w:rPr>
          <w:rFonts w:ascii="Times New Roman" w:hAnsi="Times New Roman"/>
          <w:b w:val="false"/>
          <w:i/>
          <w:color w:val="000000"/>
          <w:sz w:val="22"/>
        </w:rPr>
        <w:t>“k”</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out-of-state hospitals that submit a cost report no later than May 31 in the most recent rebasing year, APC payment amounts will be based on the blended base APC rate using hospital-specific, Iowa-only Medicaid data. For other out-of-state hospitals, APC payment amounts will be based on the Iowa statewide base APC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hospitals do not qualify for direct medical education payments pursuant to paragraph </w:t>
      </w:r>
      <w:hyperlink r:id="rId242">
        <w:r>
          <w:rPr>
            <w:rStyle w:val="Hyperlink"/>
            <w:rFonts w:ascii="Times New Roman" w:hAnsi="Times New Roman"/>
            <w:b w:val="false"/>
            <w:i w:val="false"/>
            <w:color w:val="000000"/>
            <w:sz w:val="22"/>
          </w:rPr>
          <w:t>79.1(16)</w:t>
        </w:r>
        <w:r>
          <w:rPr>
            <w:rFonts w:ascii="Times New Roman" w:hAnsi="Times New Roman"/>
            <w:b w:val="false"/>
            <w:i/>
            <w:color w:val="000000"/>
            <w:sz w:val="22"/>
          </w:rPr>
          <w:t>“v.”</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Preadmission, preauthorization or inappropriate services. </w:t>
      </w:r>
      <w:r>
        <w:rPr>
          <w:rFonts w:ascii="Times New Roman" w:hAnsi="Times New Roman"/>
          <w:b w:val="false"/>
          <w:i w:val="false"/>
          <w:color w:val="000000"/>
          <w:sz w:val="22"/>
        </w:rPr>
        <w:t>Inpatient or outpatient services that require preadmission or preprocedure approval by Iowa Medicaid are updated yearly and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 shall provide the Iowa Medicaid authorization number on the claim form to receive payment. Claims for services requiring preadmission or preprocedure approval that are submitted without this authorization number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safeguard against other inappropriate practices, the department will monitor admission practices and quality of care. If an abuse of the prospective payment system is identified, payments for abusive practices may be reduced or denied. In reducing or denying payment, Medicaid adopts the Medicare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Health care access assessment inflation factor. </w:t>
      </w:r>
      <w:r>
        <w:rPr>
          <w:rFonts w:ascii="Times New Roman" w:hAnsi="Times New Roman"/>
          <w:b w:val="false"/>
          <w:i w:val="false"/>
          <w:color w:val="000000"/>
          <w:sz w:val="22"/>
        </w:rPr>
        <w:t xml:space="preserve">Effective with the implementation of the health care access assessment paid, pursuant to </w:t>
      </w:r>
      <w:hyperlink r:id="rId243">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a health care access assessment inflation factor will be applied to the Medicaid blended base APC rate as otherwise calculated pursuant to this subrule for all “participating hospitals” as defined in </w:t>
      </w:r>
      <w:hyperlink r:id="rId244">
        <w:r>
          <w:rPr>
            <w:rStyle w:val="Hyperlink"/>
            <w:rFonts w:ascii="Times New Roman" w:hAnsi="Times New Roman"/>
            <w:b w:val="false"/>
            <w:i w:val="false"/>
            <w:color w:val="000000"/>
            <w:sz w:val="22"/>
          </w:rPr>
          <w:t>441—subrule 36.5(1)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Calculation of inflation factor. The health care access assessment inflation factor for participating hospitals will be calculated by dividing the amount allowed under the Medicare outpatient upper payment limit for the fiscal year beginning July 1, 2010, by the sum of the projected expenditures for participating hospitals for the fiscal year beginning July 1, 2010, as determined by the fiscal management division of the department, and the amount allowed under the Medicare outpatient upper payment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date. The health care access assessment inflation factor will not be implemented until federal financial participation to match money collected from the health care access assessment, pursuant to </w:t>
      </w:r>
      <w:hyperlink r:id="rId245">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has been approved by the federal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End date. Application of the health care access assessment inflation factor will terminate if the health care access assessment is terminated. If federal match money is unavailable for a retroactive period or the authority to collect the assessment is rescinded for a retroactive period,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Recalculate Medicaid rates in effect during that period without the application of the health care access assessment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Recompute Medicaid payments due based on the recalculated Medicaid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Recoup any previous overpayments;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for each hospital the amount of health care access assessment collected during that period and refund that amount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inpatient admission. </w:t>
      </w:r>
      <w:r>
        <w:rPr>
          <w:rFonts w:ascii="Times New Roman" w:hAnsi="Times New Roman"/>
          <w:b w:val="false"/>
          <w:i w:val="false"/>
          <w:color w:val="000000"/>
          <w:sz w:val="22"/>
        </w:rPr>
        <w:t>A person is considered to be an inpatient when a formal inpatient admission occurs, when a physician intends to admit a person as an inpatient, or when a physician determines that a person being observed as an outpatient in an observation or holding bed should be admitted to the hospital as an inpatient. In cases involving outpatient observation status, the determinant of patient status is not the length of time the patient was being observed, rather whether the observation period was medically necessary to determine whether a patient should be admitted to the hospital as an inpatient. Outpatient observation lasting greater than a 24-hour period will be subject to review by Iowa Medicaid to determine the medical necessity of each case. For those outpatient observation cases where medical necessity is not established, reimbursement will be denied for the services found to be unnecessary for the provision of that care, such as the use of the observation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Inpatient admission after outpatient services. </w:t>
      </w:r>
      <w:r>
        <w:rPr>
          <w:rFonts w:ascii="Times New Roman" w:hAnsi="Times New Roman"/>
          <w:b w:val="false"/>
          <w:i w:val="false"/>
          <w:color w:val="000000"/>
          <w:sz w:val="22"/>
        </w:rPr>
        <w:t xml:space="preserve">If a patient is admitted as an inpatient within three days of the day in which outpatient services were rendered, all outpatient services related to the principal diagnosis are considered inpatient services for billing purposes. The day of formal admission as an inpatient is considered as the first day of hospital inpatient services. </w:t>
      </w:r>
      <w:r>
        <w:rPr>
          <w:rFonts w:ascii="Times New Roman" w:hAnsi="Times New Roman"/>
          <w:b w:val="false"/>
          <w:i w:val="false"/>
          <w:color w:val="000000"/>
          <w:sz w:val="22"/>
        </w:rPr>
        <w:t>EXCEPTION</w:t>
      </w:r>
      <w:r>
        <w:rPr>
          <w:rFonts w:ascii="Times New Roman" w:hAnsi="Times New Roman"/>
          <w:b w:val="false"/>
          <w:i w:val="false"/>
          <w:color w:val="000000"/>
          <w:sz w:val="22"/>
        </w:rPr>
        <w:t>: This requirement does not apply to critical access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payment amounts for mental health noninpatient (NIP) services. </w:t>
      </w:r>
      <w:r>
        <w:rPr>
          <w:rFonts w:ascii="Times New Roman" w:hAnsi="Times New Roman"/>
          <w:b w:val="false"/>
          <w:i w:val="false"/>
          <w:color w:val="000000"/>
          <w:sz w:val="22"/>
        </w:rPr>
        <w:t xml:space="preserve">Mental health NIP services are limited as set forth at </w:t>
      </w:r>
      <w:hyperlink r:id="rId246">
        <w:r>
          <w:rPr>
            <w:rStyle w:val="Hyperlink"/>
            <w:rFonts w:ascii="Times New Roman" w:hAnsi="Times New Roman"/>
            <w:b w:val="false"/>
            <w:i w:val="false"/>
            <w:color w:val="000000"/>
            <w:sz w:val="22"/>
          </w:rPr>
          <w:t>441—subparagraph 78.31(4)</w:t>
        </w:r>
        <w:r>
          <w:rPr>
            <w:rFonts w:ascii="Times New Roman" w:hAnsi="Times New Roman"/>
            <w:b w:val="false"/>
            <w:i/>
            <w:color w:val="000000"/>
            <w:sz w:val="22"/>
          </w:rPr>
          <w:t>“d”</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are reimbursed on a fee schedule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Services delivered in the emergency room. </w:t>
      </w:r>
      <w:r>
        <w:rPr>
          <w:rFonts w:ascii="Times New Roman" w:hAnsi="Times New Roman"/>
          <w:b w:val="false"/>
          <w:i w:val="false"/>
          <w:color w:val="000000"/>
          <w:sz w:val="22"/>
        </w:rPr>
        <w:t>Payment to a hospital for assessment of any Medicaid member in an emergency room will be made pursuant to a fee schedule. Payment for treatment of a Medicaid member in an emergency room will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emergency room visit results in an inpatient hospital admission, the treatment provided in the emergency room is paid for as part of the payment for the inpatient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emergency room visit does not result in an inpatient hospital admission but involves emergency services as defined in paragraph </w:t>
      </w:r>
      <w:hyperlink r:id="rId247">
        <w:r>
          <w:rPr>
            <w:rStyle w:val="Hyperlink"/>
            <w:rFonts w:ascii="Times New Roman" w:hAnsi="Times New Roman"/>
            <w:b w:val="false"/>
            <w:i w:val="false"/>
            <w:color w:val="000000"/>
            <w:sz w:val="22"/>
          </w:rPr>
          <w:t>79.1(13)</w:t>
        </w:r>
        <w:r>
          <w:rPr>
            <w:rFonts w:ascii="Times New Roman" w:hAnsi="Times New Roman"/>
            <w:b w:val="false"/>
            <w:i/>
            <w:color w:val="000000"/>
            <w:sz w:val="22"/>
          </w:rPr>
          <w:t>“k,”</w:t>
        </w:r>
      </w:hyperlink>
      <w:r>
        <w:rPr>
          <w:rFonts w:ascii="Times New Roman" w:hAnsi="Times New Roman"/>
          <w:b w:val="false"/>
          <w:i w:val="false"/>
          <w:color w:val="000000"/>
          <w:sz w:val="22"/>
        </w:rPr>
        <w:t xml:space="preserve"> payment for treatment provided in the emergency room will be made at the full APC payment for the treatment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emergency room visit does not result in an inpatient hospital admission and does not involve emergency services as defined in paragraph </w:t>
      </w:r>
      <w:hyperlink r:id="rId248">
        <w:r>
          <w:rPr>
            <w:rStyle w:val="Hyperlink"/>
            <w:rFonts w:ascii="Times New Roman" w:hAnsi="Times New Roman"/>
            <w:b w:val="false"/>
            <w:i w:val="false"/>
            <w:color w:val="000000"/>
            <w:sz w:val="22"/>
          </w:rPr>
          <w:t>79.1(13)</w:t>
        </w:r>
        <w:r>
          <w:rPr>
            <w:rFonts w:ascii="Times New Roman" w:hAnsi="Times New Roman"/>
            <w:b w:val="false"/>
            <w:i/>
            <w:color w:val="000000"/>
            <w:sz w:val="22"/>
          </w:rPr>
          <w:t>“k,”</w:t>
        </w:r>
      </w:hyperlink>
      <w:r>
        <w:rPr>
          <w:rFonts w:ascii="Times New Roman" w:hAnsi="Times New Roman"/>
          <w:b w:val="false"/>
          <w:i w:val="false"/>
          <w:color w:val="000000"/>
          <w:sz w:val="22"/>
        </w:rPr>
        <w:t xml:space="preserve"> payment for treatment provided in the emergency room depends on whether the member had a referral to the emergency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members who were referred to the emergency room by appropriate medical personnel, payment for treatment provided in the emergency room will be made at 75 percent of the APC payment for the treatment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who were not referred to the emergency room by appropriate medical personnel, payment for treatment provided in the emergency room will be made at 50 percent of the APC payment for the treatment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Limit on payments. </w:t>
      </w:r>
      <w:r>
        <w:rPr>
          <w:rFonts w:ascii="Times New Roman" w:hAnsi="Times New Roman"/>
          <w:b w:val="false"/>
          <w:i w:val="false"/>
          <w:color w:val="000000"/>
          <w:sz w:val="22"/>
        </w:rPr>
        <w:t xml:space="preserve">Payments under the APC methodology, as well as other payments for outpatient services, are subject to upper limit rules set forth in </w:t>
      </w:r>
      <w:r>
        <w:rPr>
          <w:rFonts w:ascii="Times New Roman" w:hAnsi="Times New Roman"/>
          <w:b w:val="false"/>
          <w:i w:val="false"/>
          <w:color w:val="000000"/>
          <w:sz w:val="22"/>
        </w:rPr>
        <w:t>42 CFR 447.321</w:t>
      </w:r>
      <w:r>
        <w:rPr>
          <w:rFonts w:ascii="Times New Roman" w:hAnsi="Times New Roman"/>
          <w:b w:val="false"/>
          <w:i w:val="false"/>
          <w:color w:val="000000"/>
          <w:sz w:val="22"/>
        </w:rPr>
        <w:t xml:space="preserve"> and </w:t>
      </w:r>
      <w:r>
        <w:rPr>
          <w:rFonts w:ascii="Times New Roman" w:hAnsi="Times New Roman"/>
          <w:b w:val="false"/>
          <w:i w:val="false"/>
          <w:color w:val="000000"/>
          <w:sz w:val="22"/>
        </w:rPr>
        <w:t>447.325</w:t>
      </w:r>
      <w:r>
        <w:rPr>
          <w:rFonts w:ascii="Times New Roman" w:hAnsi="Times New Roman"/>
          <w:b w:val="false"/>
          <w:i w:val="false"/>
          <w:color w:val="000000"/>
          <w:sz w:val="22"/>
        </w:rPr>
        <w:t>, both as amended to July 1, 2026. Requirements under these sections state that, in general, Medicaid may not make payments to providers that would exceed the amount that would be payable to providers under comparable circumstances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Iowa Medicaid review. </w:t>
      </w:r>
      <w:r>
        <w:rPr>
          <w:rFonts w:ascii="Times New Roman" w:hAnsi="Times New Roman"/>
          <w:b w:val="false"/>
          <w:i w:val="false"/>
          <w:color w:val="000000"/>
          <w:sz w:val="22"/>
        </w:rPr>
        <w:t>The department will review a yearly random sample of hospital outpatient service cases performed for Medicaid members and identified on claims data from all Iowa and bordering state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Graduate medical education and disproportionate share fund. </w:t>
      </w:r>
      <w:r>
        <w:rPr>
          <w:rFonts w:ascii="Times New Roman" w:hAnsi="Times New Roman"/>
          <w:b w:val="false"/>
          <w:i w:val="false"/>
          <w:color w:val="000000"/>
          <w:sz w:val="22"/>
        </w:rPr>
        <w:t>Payment will be made to hospitals qualifying for direct medical education directly from the graduate medical education and disproportionate share fund. The requirements to receive payments from the fund, the amount allocated to the fund and the methodology used to determine the distribution amounts from the fund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Qualifying for direct medical education. Iowa hospitals qualify for direct medical education payments if direct medical education costs that qualify for payment as medical education costs under the Medicare program are contained in the hospital’s base year cost report and in the most recent cost report submitted before the start of the state fiscal year for which payments are being made. Out-of-state hospitals do not qualify for direct medical education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direct medical education. The total annual state fiscal year funding that is allocated to the graduate medical education and disproportionate share fund for direct medical education related to outpatient services is $2,766,718.25. If a hospital fails to qualify for 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direct medical education. Distribution of the amount in the fund for direct medical education will be on a monthly basis. To determine the amount to be distributed to each qualifying hospital for direct medical education, the following formula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sum of updated OPPS relative discounted APC weights, pursuant to paragraph </w:t>
      </w:r>
      <w:hyperlink r:id="rId249">
        <w:r>
          <w:rPr>
            <w:rStyle w:val="Hyperlink"/>
            <w:rFonts w:ascii="Times New Roman" w:hAnsi="Times New Roman"/>
            <w:b w:val="false"/>
            <w:i w:val="false"/>
            <w:color w:val="000000"/>
            <w:sz w:val="22"/>
          </w:rPr>
          <w:t>79.1(16)</w:t>
        </w:r>
      </w:hyperlink>
      <w:r>
        <w:rPr>
          <w:rFonts w:ascii="Times New Roman" w:hAnsi="Times New Roman"/>
          <w:b w:val="false"/>
          <w:i/>
          <w:color w:val="000000"/>
          <w:sz w:val="22"/>
        </w:rPr>
        <w:t>“j,”</w:t>
      </w:r>
      <w:r>
        <w:rPr>
          <w:rFonts w:ascii="Times New Roman" w:hAnsi="Times New Roman"/>
          <w:b w:val="false"/>
          <w:i w:val="false"/>
          <w:color w:val="000000"/>
          <w:sz w:val="22"/>
        </w:rPr>
        <w:t xml:space="preserve"> for the GME/DSH fund apportionment claim set for each hospital reporting direct medical education costs that qualify for payment as medical education costs under the Medicare program in the hospital’s base year cost report by each hospital’s direct medical education rate to obtain a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Multiply each hospital’s percentage by the amount allocated for direct medical education to determine the payment to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79.1(17)</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home- and community-based services home and vehicle modification and equipment. </w:t>
      </w:r>
      <w:r>
        <w:rPr>
          <w:rFonts w:ascii="Times New Roman" w:hAnsi="Times New Roman"/>
          <w:b w:val="false"/>
          <w:i w:val="false"/>
          <w:color w:val="000000"/>
          <w:sz w:val="22"/>
        </w:rPr>
        <w:t>Payment is made for home and vehicle modifications, assistive devices, specialized medical equipment, and environmental modifications and adaptive devices at the amount authorized by the department through a quotation, contract, or invoice submitted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case manager shall submit the service plan and the contract, invoice or quotations from the providers to Iowa Medicaid for prior approval before the modification is initiated or the equipment is purchased. Payment will not be approved for duplicate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possible, three itemized bids for the modification or quotations for equipment purchase shall be presented for review. The amount payable will be based on the least expensive item that meets the member’s medical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will be based on a fee schedule and will conform to the limitations set forth in subrule </w:t>
      </w:r>
      <w:hyperlink r:id="rId250">
        <w:r>
          <w:rPr>
            <w:rStyle w:val="Hyperlink"/>
            <w:rFonts w:ascii="Times New Roman" w:hAnsi="Times New Roman"/>
            <w:b w:val="false"/>
            <w:i w:val="false"/>
            <w:color w:val="000000"/>
            <w:sz w:val="22"/>
          </w:rPr>
          <w:t>79.1(12)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services and items that are furnished under Part B of Medicare, the fee will be the lowest charge allowed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services and items that are furnished only under Medicaid, the fee will be the lowest charge determined by the department according to the Medicare reimbursement method described in </w:t>
      </w:r>
      <w:r>
        <w:rPr>
          <w:rFonts w:ascii="Times New Roman" w:hAnsi="Times New Roman"/>
          <w:b w:val="false"/>
          <w:i w:val="false"/>
          <w:color w:val="000000"/>
          <w:sz w:val="22"/>
        </w:rPr>
        <w:t>Section 1834(a)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1395m</w:t>
      </w:r>
      <w:r>
        <w:rPr>
          <w:rFonts w:ascii="Times New Roman" w:hAnsi="Times New Roman"/>
          <w:b w:val="false"/>
          <w:i w:val="false"/>
          <w:color w:val="000000"/>
          <w:sz w:val="22"/>
        </w:rPr>
        <w:t xml:space="preserve"> as amended to July 1, 2026), Payment for Durable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for supplies with no established Medicare fee will be at the average wholesale price for the item less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items with no Medicare fee, Medicaid fee, or average wholesale price will be made at the manufacturer’s suggested retail price less 15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for items with no Medicare fee, Medicaid fee, average wholesale price, or manufacturer’s suggested retail price will be made at the dealer’s cost plus 10 percent. The actual invoice for the item from the manufacturer must be submitted with the claim. Catalog pages or printouts supplied by the provider are not considered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selected medical services, supplies, and equipment, including equipment servicing, that generally do not vary significantly in quality from one provider to another, the payment will be the lowest price for which such devices are widely and consistently available in a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for used equipment will not exceed 80 percent of the purchase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 allowance will be made for delivery, freight, postage, or other provider operating expenses for durable medical equipment, prosthetic devices, or sickroom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79.1(18)</w:t>
      </w:r>
      <w:r>
        <w:rPr>
          <w:rFonts w:ascii="Times New Roman" w:hAnsi="Times New Roman"/>
          <w:b w:val="false"/>
          <w:i w:val="false"/>
          <w:color w:val="000000"/>
          <w:sz w:val="22"/>
        </w:rPr>
        <w:t> </w:t>
      </w:r>
      <w:r>
        <w:rPr>
          <w:rFonts w:ascii="Times New Roman" w:hAnsi="Times New Roman"/>
          <w:b w:val="false"/>
          <w:i/>
          <w:color w:val="000000"/>
          <w:sz w:val="22"/>
        </w:rPr>
        <w:t xml:space="preserve">Pharmaceutical case management (PCM) services reimbursement. </w:t>
      </w:r>
      <w:r>
        <w:rPr>
          <w:rFonts w:ascii="Times New Roman" w:hAnsi="Times New Roman"/>
          <w:b w:val="false"/>
          <w:i w:val="false"/>
          <w:color w:val="000000"/>
          <w:sz w:val="22"/>
        </w:rPr>
        <w:t xml:space="preserve">Pharmacist and PCM team members will be equally reimbursed for participation in each of the four services described in rule </w:t>
      </w:r>
      <w:hyperlink r:id="rId251">
        <w:r>
          <w:rPr>
            <w:rStyle w:val="Hyperlink"/>
            <w:rFonts w:ascii="Times New Roman" w:hAnsi="Times New Roman"/>
            <w:b w:val="false"/>
            <w:i w:val="false"/>
            <w:color w:val="000000"/>
            <w:sz w:val="22"/>
          </w:rPr>
          <w:t>441—78.47</w:t>
        </w:r>
      </w:hyperlink>
      <w:r>
        <w:rPr>
          <w:rFonts w:ascii="Times New Roman" w:hAnsi="Times New Roman"/>
          <w:b w:val="false"/>
          <w:i w:val="false"/>
          <w:color w:val="000000"/>
          <w:sz w:val="22"/>
        </w:rPr>
        <w:t>(249A). The following table contains the amount each team member will be reimbursed for the services provided and the maximum number of payments for each type of assessment. Payment for services beyond the maximum number of payments will be considered on an individual basis after peer review of submitted documentation of medical necessity.</w:t>
      </w:r>
    </w:p>
    <w:tbl>
      <w:tblPr>
        <w:tblW w:w="0" w:type="auto"/>
        <w:tblCellSpacing w:w="0" w:type="auto"/>
        <w:tblBorders>
          <w:top w:val="none"/>
          <w:left w:val="none"/>
          <w:bottom w:val="none"/>
          <w:right w:val="none"/>
          <w:insideH w:val="none"/>
          <w:insideV w:val="none"/>
        </w:tblBorders>
        <w:tblLayout w:type="fixed"/>
      </w:tblPr>
      <w:tblGrid>
        <w:gridCol w:w="4562"/>
        <w:gridCol w:w="2642"/>
        <w:gridCol w:w="3986"/>
      </w:tblGrid>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Service</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Payment amount</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Number of payments</w:t>
            </w:r>
          </w:p>
        </w:tc>
      </w:tr>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Initial assessment</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per patient</w:t>
            </w:r>
          </w:p>
        </w:tc>
      </w:tr>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New problem assessment</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Two per patient per 12 months</w:t>
            </w:r>
          </w:p>
        </w:tc>
      </w:tr>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Problem follow-up assessment</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Four per patient per 12 months</w:t>
            </w:r>
          </w:p>
        </w:tc>
      </w:tr>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Preventive follow-up assessment</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per patient per 6 months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79.1(19)</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translation and interpretation services. </w:t>
      </w:r>
      <w:r>
        <w:rPr>
          <w:rFonts w:ascii="Times New Roman" w:hAnsi="Times New Roman"/>
          <w:b w:val="false"/>
          <w:i w:val="false"/>
          <w:color w:val="000000"/>
          <w:sz w:val="22"/>
        </w:rPr>
        <w:t xml:space="preserve">Reimbursement for translation and interpretation services will be made to providers based on the reimbursement methodology for the provider category as defined in subrule </w:t>
      </w:r>
      <w:hyperlink r:id="rId252">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those providers whose basis of reimbursement is cost-related, translation and interpretation services will be considered an allowable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those providers whose basis of reimbursement is a fee schedule, a fee will be established for translation and interpretation services, which will be treated as a reimbursable service. In order for translation or interpretation to be covered, it must be provided by separate employees or contractors solely performing translation or interpretation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79.1(20)</w:t>
      </w:r>
      <w:r>
        <w:rPr>
          <w:rFonts w:ascii="Times New Roman" w:hAnsi="Times New Roman"/>
          <w:b w:val="false"/>
          <w:i w:val="false"/>
          <w:color w:val="000000"/>
          <w:sz w:val="22"/>
        </w:rPr>
        <w:t> </w:t>
      </w:r>
      <w:r>
        <w:rPr>
          <w:rFonts w:ascii="Times New Roman" w:hAnsi="Times New Roman"/>
          <w:b w:val="false"/>
          <w:i/>
          <w:color w:val="000000"/>
          <w:sz w:val="22"/>
        </w:rPr>
        <w:t xml:space="preserve">Dentists. </w:t>
      </w:r>
      <w:r>
        <w:rPr>
          <w:rFonts w:ascii="Times New Roman" w:hAnsi="Times New Roman"/>
          <w:b w:val="false"/>
          <w:i w:val="false"/>
          <w:color w:val="000000"/>
          <w:sz w:val="22"/>
        </w:rPr>
        <w:t>The dental fee schedule is based on the definitions of dental and surgical procedures given in the Code on Dental Procedures and Nomenclature (CDT) published by the American Dental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79.1(21)</w:t>
      </w:r>
      <w:r>
        <w:rPr>
          <w:rFonts w:ascii="Times New Roman" w:hAnsi="Times New Roman"/>
          <w:b w:val="false"/>
          <w:i w:val="false"/>
          <w:color w:val="000000"/>
          <w:sz w:val="22"/>
        </w:rPr>
        <w:t> </w:t>
      </w:r>
      <w:r>
        <w:rPr>
          <w:rFonts w:ascii="Times New Roman" w:hAnsi="Times New Roman"/>
          <w:b w:val="false"/>
          <w:i/>
          <w:color w:val="000000"/>
          <w:sz w:val="22"/>
        </w:rPr>
        <w:t xml:space="preserve">Rehabilitation agencies. </w:t>
      </w:r>
      <w:r>
        <w:rPr>
          <w:rFonts w:ascii="Times New Roman" w:hAnsi="Times New Roman"/>
          <w:b w:val="false"/>
          <w:i w:val="false"/>
          <w:color w:val="000000"/>
          <w:sz w:val="22"/>
        </w:rPr>
        <w:t xml:space="preserve">Subject to the Medicaid upper limit in subrule </w:t>
      </w:r>
      <w:hyperlink r:id="rId253">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payments to rehabilitation agencies will be made as provided in the areawide fee schedule established for Medicare by the CMS as amended to July 1, 2026. The Medicare fee schedule is based on the definitions of procedures from the physicians’ Current Procedural Terminology (CPT) published by the American Medical Association as amended to July 1, 2026. CMS adjusts the fee schedules annually to reflect changes in the consumer price index for all urban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79.1(22)</w:t>
      </w:r>
      <w:r>
        <w:rPr>
          <w:rFonts w:ascii="Times New Roman" w:hAnsi="Times New Roman"/>
          <w:b w:val="false"/>
          <w:i w:val="false"/>
          <w:color w:val="000000"/>
          <w:sz w:val="22"/>
        </w:rPr>
        <w:t> </w:t>
      </w:r>
      <w:r>
        <w:rPr>
          <w:rFonts w:ascii="Times New Roman" w:hAnsi="Times New Roman"/>
          <w:b w:val="false"/>
          <w:i/>
          <w:color w:val="000000"/>
          <w:sz w:val="22"/>
        </w:rPr>
        <w:t xml:space="preserve">Medicare crossover claims. </w:t>
      </w:r>
      <w:r>
        <w:rPr>
          <w:rFonts w:ascii="Times New Roman" w:hAnsi="Times New Roman"/>
          <w:b w:val="false"/>
          <w:i w:val="false"/>
          <w:color w:val="000000"/>
          <w:sz w:val="22"/>
        </w:rPr>
        <w:t>Subject to approval of a state plan amendment by CMS, payment for Medicare crossover claims will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“Coinsurance”</w:t>
      </w:r>
      <w:r>
        <w:rPr>
          <w:rFonts w:ascii="Times New Roman" w:hAnsi="Times New Roman"/>
          <w:b w:val="false"/>
          <w:i w:val="false"/>
          <w:color w:val="000000"/>
          <w:sz w:val="22"/>
        </w:rPr>
        <w:t>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“Copayment”</w:t>
      </w:r>
      <w:r>
        <w:rPr>
          <w:rFonts w:ascii="Times New Roman" w:hAnsi="Times New Roman"/>
          <w:b w:val="false"/>
          <w:i w:val="false"/>
          <w:color w:val="000000"/>
          <w:sz w:val="22"/>
        </w:rPr>
        <w: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“Deductible”</w:t>
      </w:r>
      <w:r>
        <w:rPr>
          <w:rFonts w:ascii="Times New Roman" w:hAnsi="Times New Roman"/>
          <w:b w:val="false"/>
          <w:i w:val="false"/>
          <w:color w:val="000000"/>
          <w:sz w:val="22"/>
        </w:rPr>
        <w:t>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“Medicaid-allowed amount”</w:t>
      </w:r>
      <w:r>
        <w:rPr>
          <w:rFonts w:ascii="Times New Roman" w:hAnsi="Times New Roman"/>
          <w:b w:val="false"/>
          <w:i w:val="false"/>
          <w:color w:val="000000"/>
          <w:sz w:val="22"/>
        </w:rPr>
        <w:t> </w:t>
      </w:r>
      <w:r>
        <w:rPr>
          <w:rFonts w:ascii="Times New Roman" w:hAnsi="Times New Roman"/>
          <w:b w:val="false"/>
          <w:i w:val="false"/>
          <w:color w:val="000000"/>
          <w:sz w:val="22"/>
        </w:rPr>
        <w:t>means the Medicaid reimbursement for the service(s) rendered (including any portion to be paid by the Medicaid beneficiary as copayment or spenddown), as determined under state and federal law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“Medicare-allowed amount”</w:t>
      </w:r>
      <w:r>
        <w:rPr>
          <w:rFonts w:ascii="Times New Roman" w:hAnsi="Times New Roman"/>
          <w:b w:val="false"/>
          <w:i w:val="false"/>
          <w:color w:val="000000"/>
          <w:sz w:val="22"/>
        </w:rPr>
        <w:t> </w:t>
      </w:r>
      <w:r>
        <w:rPr>
          <w:rFonts w:ascii="Times New Roman" w:hAnsi="Times New Roman"/>
          <w:b w:val="false"/>
          <w:i w:val="false"/>
          <w:color w:val="000000"/>
          <w:sz w:val="22"/>
        </w:rPr>
        <w:t>means the total reimbursement allowed by Medicare for the service(s) rendered, for a participating Medicare provider who has accepted Medicare assignment of claims for services rendered, including any portion to be paid by the Medicare beneficiary as a deductible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cost sharing”</w:t>
      </w:r>
      <w:r>
        <w:rPr>
          <w:rFonts w:ascii="Times New Roman" w:hAnsi="Times New Roman"/>
          <w:b w:val="false"/>
          <w:i w:val="false"/>
          <w:color w:val="000000"/>
          <w:sz w:val="22"/>
        </w:rPr>
        <w:t> </w:t>
      </w:r>
      <w:r>
        <w:rPr>
          <w:rFonts w:ascii="Times New Roman" w:hAnsi="Times New Roman"/>
          <w:b w:val="false"/>
          <w:i w:val="false"/>
          <w:color w:val="000000"/>
          <w:sz w:val="22"/>
        </w:rPr>
        <w:t>means the Medicare member’s responsibility to pay for a Medicare-covered service. “Medicare cost sharing” includes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crossover claim”</w:t>
      </w:r>
      <w:r>
        <w:rPr>
          <w:rFonts w:ascii="Times New Roman" w:hAnsi="Times New Roman"/>
          <w:b w:val="false"/>
          <w:i w:val="false"/>
          <w:color w:val="000000"/>
          <w:sz w:val="22"/>
        </w:rPr>
        <w:t> </w:t>
      </w:r>
      <w:r>
        <w:rPr>
          <w:rFonts w:ascii="Times New Roman" w:hAnsi="Times New Roman"/>
          <w:b w:val="false"/>
          <w:i w:val="false"/>
          <w:color w:val="000000"/>
          <w:sz w:val="22"/>
        </w:rPr>
        <w:t>means a claim for Medicaid payment for services covered by Medicare Part A or Part B rendered to a Medicare beneficiary who is also eligible for Medicaid. Medicare crossover claims include claims for services rendered to beneficiaries who are eligible for Medicaid in any category, including, but not limited to, qualified Medicare beneficiaries and beneficiaries who are eligible for full Medicaid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deductible and coinsurance amounts”</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Medicare-allowed amount to be paid by the Medicare beneficiary as a deductible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provider reimbursement”</w:t>
      </w:r>
      <w:r>
        <w:rPr>
          <w:rFonts w:ascii="Times New Roman" w:hAnsi="Times New Roman"/>
          <w:b w:val="false"/>
          <w:i w:val="false"/>
          <w:color w:val="000000"/>
          <w:sz w:val="22"/>
        </w:rPr>
        <w:t> </w:t>
      </w:r>
      <w:r>
        <w:rPr>
          <w:rFonts w:ascii="Times New Roman" w:hAnsi="Times New Roman"/>
          <w:b w:val="false"/>
          <w:i w:val="false"/>
          <w:color w:val="000000"/>
          <w:sz w:val="22"/>
        </w:rPr>
        <w:t>means the Medicare-allowed amount less any portion thereof to be paid by the Medicare beneficiary as a deductible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Medicare beneficiary”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“QMB”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eligible for the QMB program pursuant to </w:t>
      </w:r>
      <w:hyperlink r:id="rId254">
        <w:r>
          <w:rPr>
            <w:rStyle w:val="Hyperlink"/>
            <w:rFonts w:ascii="Times New Roman" w:hAnsi="Times New Roman"/>
            <w:b w:val="false"/>
            <w:i w:val="false"/>
            <w:color w:val="000000"/>
            <w:sz w:val="22"/>
          </w:rPr>
          <w:t>441—paragraph 75.6(5)</w:t>
        </w:r>
      </w:hyperlink>
      <w:r>
        <w:rPr>
          <w:rFonts w:ascii="Times New Roman" w:hAnsi="Times New Roman"/>
          <w:b w:val="false"/>
          <w:i/>
          <w:color w:val="000000"/>
          <w:sz w:val="22"/>
        </w:rPr>
        <w:t>“a.”</w:t>
      </w:r>
      <w:r>
        <w:rPr>
          <w:rFonts w:ascii="Times New Roman" w:hAnsi="Times New Roman"/>
          <w:b w:val="false"/>
          <w:i w:val="false"/>
          <w:color w:val="000000"/>
          <w:sz w:val="22"/>
        </w:rPr>
        <w:t xml:space="preserve"> Under the QMB program, Medicaid pays the individual’s Medicare Part A and B premiums; coinsurance; copayment; and deductible (except for Part 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any source other than Medicaid, Medicare, or the Medicaid and Medicare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Medicare crossover claims. </w:t>
      </w:r>
      <w:r>
        <w:rPr>
          <w:rFonts w:ascii="Times New Roman" w:hAnsi="Times New Roman"/>
          <w:b w:val="false"/>
          <w:i w:val="false"/>
          <w:color w:val="000000"/>
          <w:sz w:val="22"/>
        </w:rPr>
        <w:t>Covered Medicare crossover claims will be paid by Medicaid at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Applicable Medicare deductible and coinsurance amounts, less any third-party payment available to the provider for the Medicare deductible and coinsurance amounts and any Medicaid copayment or spenddown;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Medicaid-covered services: the Medicaid-allowed amount less the Medicare provider reimbursement, any third-party payment available to the provider in addition to the Medicare provider reimbursement, and any Medicaid copayment or spenddown;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non-Medicaid-covered services: 50 percent of the Medicare-allowed amount less the Medicare provider reimbursement, any third-party payment available to the provider in addition to the Medicare provider reimbursement, and any Medicaid copayment or spenddown.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79.1(23)</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hyperlink r:id="rId255">
        <w:r>
          <w:rPr>
            <w:rStyle w:val="Hyperlink"/>
            <w:rFonts w:ascii="Times New Roman" w:hAnsi="Times New Roman"/>
            <w:b/>
            <w:i w:val="false"/>
            <w:color w:val="000000"/>
            <w:sz w:val="22"/>
          </w:rPr>
          <w:t>79.1(24)</w:t>
        </w:r>
      </w:hyperlink>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79.1(25)</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community mental health centers (CMHCs). </w:t>
      </w:r>
      <w:r>
        <w:rPr>
          <w:rFonts w:ascii="Times New Roman" w:hAnsi="Times New Roman"/>
          <w:b w:val="false"/>
          <w:i w:val="false"/>
          <w:color w:val="000000"/>
          <w:sz w:val="22"/>
        </w:rPr>
        <w:t>CMHCs may elect to be paid on either a 100 percent of reasonable costs basis, as determined by Medicare reimbursement principles, or in accordance with an alternative reimbursement rate methodology approved by the department. Once a CMHC chooses the alternative reimbursement rate methodology, the CMHC may not change its elected reimbursement methodology to 100 percent of reasonable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Cost-based reimbursement. </w:t>
      </w:r>
      <w:r>
        <w:rPr>
          <w:rFonts w:ascii="Times New Roman" w:hAnsi="Times New Roman"/>
          <w:b w:val="false"/>
          <w:i w:val="false"/>
          <w:color w:val="000000"/>
          <w:sz w:val="22"/>
        </w:rPr>
        <w:t>For CMHCs that elect the 100 percent of reasonable costs basis of reimbursement, rates are initially paid on an interim basis and then are adjusted retroactively based on submission of a financial and statistical report,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Until a provider that was enrolled in the Medicaid program before October 1, 2006, submits a cost report in order to develop a provider-specific interim rate, Iowa Medicaid will make interim payments to the provider based upon 105 percent of the greater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statewide fee schedule for community mental health centers effective July 1,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average Medicaid managed care contracted fee amounts for community mental health centers effective July 1,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provider that enrolls in the Medicaid program on or after October 1, 2006, until a provider-specific interim rate is developed, Iowa Medicaid will make interim payments based upon the average statewide interim rates for community mental health centers at the time services are rendered. A new provider may submit a projected cost report that Iowa Medicaid will use to develop a provider-specific interim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reports as filed are subject to review and audit by Iowa Medicaid. Iowa Medicaid will determine each provider’s actual, allowable costs in accordance with generally accepted accounting principles and in accordance with Medicare cost principles, subject to the exceptions and limitations in the department’s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Medicaid will make retroactive adjustment of the interim rate after the submission of annual cost reports. The adjustment represents the difference between the amount the provider received during the year through interim payments for covered services and the amount determined to be the actual, allowable cost of service rendered to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Iowa Medicaid will use each annual cost report to develop a provider-specific interim fee schedule to be paid prospectively. The effective date of the fee schedule change is the first day of the month following completion of the cost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All providers other than CMHCs that have elected the alternative reimbursement rate methodology established by the Medicaid program’s managed care contractor for mental health services shall submit cost reports using a Financial and Statistical Report form. Hospital-based providers required to submit a cost report shall also submit the Medicare cost report, CMS Form 2552. The following requirements apply to all required cost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shall be based on the provider’s financial records. When the records are not kept on an accrual basis of accounting, the provider shall make the adjustments necessary to convert the information to an accrual basis for reporting. Failure to maintain records to support the cost report may result in termination of the provider’s enrollment with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that offer multiple programs shall submit a cost allocation schedule prepared in accordance with generally accepted accounting principles and requirements as specified in OMB Circular A-87 adopted in federal regulations at </w:t>
      </w:r>
      <w:r>
        <w:rPr>
          <w:rFonts w:ascii="Times New Roman" w:hAnsi="Times New Roman"/>
          <w:b w:val="false"/>
          <w:i w:val="false"/>
          <w:color w:val="000000"/>
          <w:sz w:val="22"/>
        </w:rPr>
        <w:t>2 CFR Part 225</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reported for community mental health clinic services shall not be reported as reimbursable costs under any other funding source. Costs incurred for other services shall not be reported as reimbursable costs under community mental health clinic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completed cost reports to Iowa Medicaid at the department’s address. A provider that is not hospital-based shall submit a Financial and Statistical Report form on or before the last day of the third month after the end of the provider’s fiscal year. A hospital-based provider shall submit both a Financial and Statistical Report form and CMS Form 2552 on or before the last day of the fifth month after the end of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provider may obtain a 30-day extension for submitting the cost report by submitting a letter to Iowa Medicaid. No extensions will be granted beyond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provider fails to submit a cost report that meets the requirements of this paragraph, Iowa Medicaid will reduce the provider’s interim payments to 76 percent of the current interim rate. The reduced interim rate will be paid for not longer than three months, after which time no further payments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79.1(26)</w:t>
      </w:r>
      <w:r>
        <w:rPr>
          <w:rFonts w:ascii="Times New Roman" w:hAnsi="Times New Roman"/>
          <w:b w:val="false"/>
          <w:i w:val="false"/>
          <w:color w:val="000000"/>
          <w:sz w:val="22"/>
        </w:rPr>
        <w:t> </w:t>
      </w:r>
      <w:r>
        <w:rPr>
          <w:rFonts w:ascii="Times New Roman" w:hAnsi="Times New Roman"/>
          <w:b w:val="false"/>
          <w:i/>
          <w:color w:val="000000"/>
          <w:sz w:val="22"/>
        </w:rPr>
        <w:t xml:space="preserve">Home 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included under the home health services program are reimbursed on the low utilization payment amount (LUPA) methodology, with state geographic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Medicare LUPA per-visit rates in effect on July 1, 2013, are the basis for establishing the LUPA methodology for the initial reimbursement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Medicare LUPA per-visit rates shall be increased July 1 every two years to reflect the most recent Medicare LUPA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 health services subject to this methodology are skilled nursing, home health aide, physical therapy, occupational therapy, speech therapy, and medical social services provided by Medicare-certified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79.1(27)</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early periodic screening, diagnosis, and treatment private duty nursing and personal cares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Rate determination based on cost reports. </w:t>
      </w:r>
      <w:r>
        <w:rPr>
          <w:rFonts w:ascii="Times New Roman" w:hAnsi="Times New Roman"/>
          <w:b w:val="false"/>
          <w:i w:val="false"/>
          <w:color w:val="000000"/>
          <w:sz w:val="22"/>
        </w:rPr>
        <w:t xml:space="preserve">Reimbursement will be made using an hourly rate that is calculated retrospectively for each provider, considering reasonable and proper costs of operation not to exceed the upper limit as provided in subrule </w:t>
      </w:r>
      <w:hyperlink r:id="rId256">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Interim rates. Providers will be reimbursed through a prospective interim rate equal to the previous year’s retrospectively calculated 15-minute and hourly rate. Pending determination of private duty nursing and personal cares program costs, the provider may bill for and shall be reimbursed at an hourly rate that the provider and Iowa Medicaid may reasonably expect to produce total payments to the provider for the provider’s fiscal year that are consistent with Medicaid’s obligation to reimburse that provider’s reasonable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Audit of cost reports. Cost reports as filed will be subject to review or audit or both by Iowa Medicaid to determine the actual cost of services in accordance with generally accepted accounting principles, and Medicare cost principles published in Centers for Medicare and Medicaid Services Publication §15-1, and the Office of Management and Budget Circular A-87, Attachment B, both as amended to July 1, 2026, subject to the exceptions and limitations in the department’s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Retroactive adjustment. When the reasonable and proper costs of operation are determined, a retroactive adjustment will be made. The retroactive adjustment represents the difference between the amount that the provider received during the year for covered services through interim rates and the reasonable and proper costs of operation determined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Financial and statistical report submission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the complete Financial and Statistical Report form in an electronic format approved by the department to Iowa Medicaid within five months of the end of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submission of the financial and statistical report must include a working trial balance that corresponds to the data contained on the financial and statistical report and the Medicare cost report. Financial and statistical reports submitted without a working trial balance and the Medicare cost report will be considered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provider may obtain a 30-day extension for submitting the financial and statistical report by sending a letter to Iowa Medicaid. The extension request must be received by Iowa Medicaid before the original due date. No extensions will be granted beyond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a completed financial and statistical report to Iowa Medicaid in an electronic format that can be opened using the extension xls or xlsx. The supplemental documentation shall be submitted in a generally accepted business format. The report and required supplemental information shall be emailed to the email address on the form on or before the last day of the fifth month after the end of the provider’s fiscal year. One signed copy of the certification page of the Medicaid and Medicare cost reports shall be mailed to Iowa Medicaid at the department’s address no later than the due date of the required electronic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fails to submit a cost report that meets the requirement of subparagraph </w:t>
      </w:r>
      <w:hyperlink r:id="rId257">
        <w:r>
          <w:rPr>
            <w:rStyle w:val="Hyperlink"/>
            <w:rFonts w:ascii="Times New Roman" w:hAnsi="Times New Roman"/>
            <w:b w:val="false"/>
            <w:i w:val="false"/>
            <w:color w:val="000000"/>
            <w:sz w:val="22"/>
          </w:rPr>
          <w:t>79.1(27)</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the department will reduce payment to 75 percent of the current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reduced rate(s) will be effective the first day of the sixth month following the provider’s fiscal year end and will remain in effect until the first day of the month after the delinquent report is received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reduced rate(s) will be paid for no longer than three months, after which time no further payments will be made until the first day of the month after the delinquent report is received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shall be based on the provider’s financial records. When the records are not kept on an accrual basis of accounting, the provider shall make the adjustments necessary to convert the information to an accrual basis for reporting and provide documentation detailing these adjustments. Failure to maintain records to support the cost report may result in the following,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Recoupment of Medicaid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Sanctions pursuant to rule </w:t>
      </w:r>
      <w:hyperlink r:id="rId258">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department, in its sole discretion, may on its own initiative reopen a review of a financial and statistical report at any time. No other entity or person has the right to request that the department or its contractor reopen a review of a financial and statistical report, or to submit an amended financial and statistical report for review by the department, after the provider is notified of its reimbursement rates following review of a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projected cost report shall be submitted when a home health agency enters the program or adds private duty nursing and the personal cares program. Prospective interim rates will be established using the projected cost report. The effective date of the rate shall be the day the provider becomes certified as a Medicaid provider or the day the new program is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provider of services under multiple programs shall submit a cost allocation schedule that was used during the preparation of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Costs reported under private duty nursing and the personal cares program shall not be reported as reimbursable costs under any other funding source. Costs incurred for other services shall not be reported as reimbursable costs under private duty nursing and the personal cares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When a provider continues to include as an item of cost an item or items that had in a prior period been removed by an adjustment by the department or its contractor, in the total program costs, the contractor shall recommend to the department that the reimbursement rates be reduced to 75 percent of the current reimbursement rate for the entire quarter beginning the first day of the sixth month after the provider’s fiscal year end. The department may, after considering the seriousness of the exception,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provider of its obligation to immediately inform the department that it has retained Medicaid funds to which it is not entitled as a result of any cost report process. A provider must notify Iowa Medicaid when the provider notes that funds are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Terminated home health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participating home health agency contemplating termination of private duty nursing and the personal cares program shall provide the department with at least 60 days’ prior notice. The person responsible for the termination is responsible for submission of a final financial and statistical report through the date of the termination. The final home health cost report shall meet the reporting requirements in paragraph </w:t>
      </w:r>
      <w:hyperlink r:id="rId259">
        <w:r>
          <w:rPr>
            <w:rStyle w:val="Hyperlink"/>
            <w:rFonts w:ascii="Times New Roman" w:hAnsi="Times New Roman"/>
            <w:b w:val="false"/>
            <w:i w:val="false"/>
            <w:color w:val="000000"/>
            <w:sz w:val="22"/>
          </w:rPr>
          <w:t>79.1(27)</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facilities that terminate activity with Iowa Medicaid, a financial and statistical report from the beginning of the fiscal year to the date of termination will be required, regardless of if termination is voluntary, involuntary or due to a change in ownership. All documentation in paragraph </w:t>
      </w:r>
      <w:hyperlink r:id="rId260">
        <w:r>
          <w:rPr>
            <w:rStyle w:val="Hyperlink"/>
            <w:rFonts w:ascii="Times New Roman" w:hAnsi="Times New Roman"/>
            <w:b w:val="false"/>
            <w:i w:val="false"/>
            <w:color w:val="000000"/>
            <w:sz w:val="22"/>
          </w:rPr>
          <w:t>79.1(27)</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submitted 45 days after the date of termination, by the terminated (closed) entity. If no report is received within 45 days, Iowa Medicaid will begin the process to recoup all funds for dates of service beginning from the last filed cost report to the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79.1(28)</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community-based neurobehavioral rehabilitation residential services and community-based neurobehavioral rehabilitation intermittent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providers. </w:t>
      </w:r>
      <w:r>
        <w:rPr>
          <w:rFonts w:ascii="Times New Roman" w:hAnsi="Times New Roman"/>
          <w:b w:val="false"/>
          <w:i w:val="false"/>
          <w:color w:val="000000"/>
          <w:sz w:val="22"/>
        </w:rPr>
        <w:t>Providers who are newly enrolled will be paid prospective rates based on projected reasonable and proper costs of operation based on the statewide average rate paid to community-based neurobehavioral rehabilitation service providers in effect June 30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Established providers. </w:t>
      </w:r>
      <w:r>
        <w:rPr>
          <w:rFonts w:ascii="Times New Roman" w:hAnsi="Times New Roman"/>
          <w:b w:val="false"/>
          <w:i w:val="false"/>
          <w:color w:val="000000"/>
          <w:sz w:val="22"/>
        </w:rPr>
        <w:t>After establishment of the initial rate for a provider, the rate will be adjusted annually, effective July 1 each year. The provider’s new rate will be the previously established rate adjusted by the consumer price index for all urban consumers for the preceding 12-month period ending June 30, not to exceed the limit in effect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79.1(29)</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health insurance premium payment (HIPP) program providers. </w:t>
      </w:r>
      <w:r>
        <w:rPr>
          <w:rFonts w:ascii="Times New Roman" w:hAnsi="Times New Roman"/>
          <w:b w:val="false"/>
          <w:i w:val="false"/>
          <w:color w:val="000000"/>
          <w:sz w:val="22"/>
        </w:rPr>
        <w:t>Reimbursement for HIPP program providers will be provided only when such provider is enrolled with Iowa Medicaid for the sole purpose of billing HIPP-eligible in-network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“Coinsurance”</w:t>
      </w:r>
      <w:r>
        <w:rPr>
          <w:rFonts w:ascii="Times New Roman" w:hAnsi="Times New Roman"/>
          <w:b w:val="false"/>
          <w:i w:val="false"/>
          <w:color w:val="000000"/>
          <w:sz w:val="22"/>
        </w:rPr>
        <w:t>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“Copayment”</w:t>
      </w:r>
      <w:r>
        <w:rPr>
          <w:rFonts w:ascii="Times New Roman" w:hAnsi="Times New Roman"/>
          <w:b w:val="false"/>
          <w:i w:val="false"/>
          <w:color w:val="000000"/>
          <w:sz w:val="22"/>
        </w:rPr>
        <w: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“Deductible”</w:t>
      </w:r>
      <w:r>
        <w:rPr>
          <w:rFonts w:ascii="Times New Roman" w:hAnsi="Times New Roman"/>
          <w:b w:val="false"/>
          <w:i w:val="false"/>
          <w:color w:val="000000"/>
          <w:sz w:val="22"/>
        </w:rPr>
        <w:t> </w:t>
      </w:r>
      <w:r>
        <w:rPr>
          <w:rFonts w:ascii="Times New Roman" w:hAnsi="Times New Roman"/>
          <w:b w:val="false"/>
          <w:i w:val="false"/>
          <w:color w:val="000000"/>
          <w:sz w:val="22"/>
        </w:rPr>
        <w:t>means the amount paid for covered health care services before the insurance plan starts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eligible for Medicaid pursuant to rule </w:t>
      </w:r>
      <w:hyperlink r:id="rId261">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et seq. and who qualifies for and is participating in the department’s HIPP program prescribed under rule </w:t>
      </w:r>
      <w:hyperlink r:id="rId262">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insurance premium payment (HIPP)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“HIPP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has the same meaning as provided in rule </w:t>
      </w:r>
      <w:hyperlink r:id="rId263">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 submission. </w:t>
      </w:r>
      <w:r>
        <w:rPr>
          <w:rFonts w:ascii="Times New Roman" w:hAnsi="Times New Roman"/>
          <w:b w:val="false"/>
          <w:i w:val="false"/>
          <w:color w:val="000000"/>
          <w:sz w:val="22"/>
        </w:rPr>
        <w:t>To submit a claim for reimbursement, a HIPP provider shall use a Health Insurance Premium Payment (HIPP) Provider Invoice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to eligible providers for a HIPP program-eligible member’s coinsurance, copayment, and deductible when the HIPP program-eligible member is active on the date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 responsibility. The eligible member may be responsible for a copayment pursuant to subrule </w:t>
      </w:r>
      <w:hyperlink r:id="rId264">
        <w:r>
          <w:rPr>
            <w:rStyle w:val="Hyperlink"/>
            <w:rFonts w:ascii="Times New Roman" w:hAnsi="Times New Roman"/>
            <w:b w:val="false"/>
            <w:i w:val="false"/>
            <w:color w:val="000000"/>
            <w:sz w:val="22"/>
          </w:rPr>
          <w:t>79.1(13)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79.1(30)</w:t>
      </w:r>
      <w:r>
        <w:rPr>
          <w:rFonts w:ascii="Times New Roman" w:hAnsi="Times New Roman"/>
          <w:b w:val="false"/>
          <w:i w:val="false"/>
          <w:color w:val="000000"/>
          <w:sz w:val="22"/>
        </w:rPr>
        <w:t> </w:t>
      </w:r>
      <w:r>
        <w:rPr>
          <w:rFonts w:ascii="Times New Roman" w:hAnsi="Times New Roman"/>
          <w:b w:val="false"/>
          <w:i/>
          <w:color w:val="000000"/>
          <w:sz w:val="22"/>
        </w:rPr>
        <w:t xml:space="preserve">Tiered rates. </w:t>
      </w:r>
      <w:r>
        <w:rPr>
          <w:rFonts w:ascii="Times New Roman" w:hAnsi="Times New Roman"/>
          <w:b w:val="false"/>
          <w:i w:val="false"/>
          <w:color w:val="000000"/>
          <w:sz w:val="22"/>
        </w:rPr>
        <w:t xml:space="preserve">For daily supported community living services, residential-based supported community living services, full-day habilitation services, and adult day care services provided under the intellectual disability waiver, the fee schedule published by the department pursuant to paragraph </w:t>
      </w:r>
      <w:hyperlink r:id="rId265">
        <w:r>
          <w:rPr>
            <w:rStyle w:val="Hyperlink"/>
            <w:rFonts w:ascii="Times New Roman" w:hAnsi="Times New Roman"/>
            <w:b w:val="false"/>
            <w:i w:val="false"/>
            <w:color w:val="000000"/>
            <w:sz w:val="22"/>
          </w:rPr>
          <w:t>79.1(1)</w:t>
        </w:r>
      </w:hyperlink>
      <w:r>
        <w:rPr>
          <w:rFonts w:ascii="Times New Roman" w:hAnsi="Times New Roman"/>
          <w:b w:val="false"/>
          <w:i/>
          <w:color w:val="000000"/>
          <w:sz w:val="22"/>
        </w:rPr>
        <w:t>“c”</w:t>
      </w:r>
      <w:r>
        <w:rPr>
          <w:rFonts w:ascii="Times New Roman" w:hAnsi="Times New Roman"/>
          <w:b w:val="false"/>
          <w:i w:val="false"/>
          <w:color w:val="000000"/>
          <w:sz w:val="22"/>
        </w:rPr>
        <w:t xml:space="preserve"> provides rates based on the acuity tier of the member, as determined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Acuity tiers are based on the results of the interRAI-Intellectual Disability (interRAI-ID) for individuals age 18 and over and the Child and Youth Mental Health Developmental Disability (ChYMH-DD) (for children and youth below age 18) assessment tools as amended to July 1, 2026. The completed interRAI assessment tool and scoring criteria are available on request from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assignment of members to acuity tiers is based on a mathematically valid process that identifies meaningful differences in the support needs of the members based on the InterRAI-ID and ChYMH-DD scores.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supported community living daily services paid through a per diem, there are two reimbursement sublevels within each tier based on the number of hours of day services a member receives monthly. Day services include enhanced job search services, supported employment, prevocational services, adult day care, day habilitation and employment outside of Medicaid reimbursable services. The two reimbursement sublevels reflect reimbursement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who receive an average of 40 hours or more of day services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who receive an average of less than 40 hours of day services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Acuity tier scores are derived from information contained in the following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Section A. Identification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Section B. Intake and Initial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Section C. Community and Social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Section D. Strengths, Relationships,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Section E.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Section F. Environmental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Section G. Communication and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Section H. Cognition or Section I.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Section N. Supports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Tier redetermination. A member’s acuity tier may be changed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change in the member’s interRAI-ID or ChYMH-DD score as determined in the annual level of care redetermination process pursuant to rule </w:t>
      </w:r>
      <w:hyperlink r:id="rId266">
        <w:r>
          <w:rPr>
            <w:rStyle w:val="Hyperlink"/>
            <w:rFonts w:ascii="Times New Roman" w:hAnsi="Times New Roman"/>
            <w:b w:val="false"/>
            <w:i w:val="false"/>
            <w:color w:val="000000"/>
            <w:sz w:val="22"/>
          </w:rPr>
          <w:t>441—83.64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completed Emergency Needs Assessment form indicates a change in the member’s support needs. A member’s case manager may request an emergency needs assessment when a significant change in the member’s needs is identified. When a completed emergency needs assessment indicates significant changes that are likely to continue, a full interRAI-ID or ChYMH-DD assessment shall be conducted and any change in the interRAI-ID or ChYMH-DD scores will be used to determine the member’s acuity tier.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26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B.1.pdf" Type="http://schemas.openxmlformats.org/officeDocument/2006/relationships/hyperlink" Id="rId4"/>
    <Relationship TargetMode="External" Target="https://www.legis.iowa.gov/docs/iac/rule/441.79.1.pdf" Type="http://schemas.openxmlformats.org/officeDocument/2006/relationships/hyperlink" Id="rId5"/>
    <Relationship TargetMode="External" Target="https://www.legis.iowa.gov/docs/iac/rule/441.79.1.pdf" Type="http://schemas.openxmlformats.org/officeDocument/2006/relationships/hyperlink" Id="rId6"/>
    <Relationship TargetMode="External" Target="https://www.legis.iowa.gov/docs/iac/rule/441.79.1.pdf" Type="http://schemas.openxmlformats.org/officeDocument/2006/relationships/hyperlink" Id="rId7"/>
    <Relationship TargetMode="External" Target="https://www.legis.iowa.gov/docs/iac/rule/441.79.1.pdf" Type="http://schemas.openxmlformats.org/officeDocument/2006/relationships/hyperlink" Id="rId8"/>
    <Relationship TargetMode="External" Target="https://www.legis.iowa.gov/docs/iac/rule/441.79.1.pdf" Type="http://schemas.openxmlformats.org/officeDocument/2006/relationships/hyperlink" Id="rId9"/>
    <Relationship TargetMode="External" Target="https://www.legis.iowa.gov/docs/iac/rule/441.79.1.pdf" Type="http://schemas.openxmlformats.org/officeDocument/2006/relationships/hyperlink" Id="rId10"/>
    <Relationship TargetMode="External" Target="https://www.legis.iowa.gov/docs/iac/rule/441.79.1.pdf" Type="http://schemas.openxmlformats.org/officeDocument/2006/relationships/hyperlink" Id="rId11"/>
    <Relationship TargetMode="External" Target="https://www.legis.iowa.gov/docs/iac/rule/441.79.1.pdf" Type="http://schemas.openxmlformats.org/officeDocument/2006/relationships/hyperlink" Id="rId12"/>
    <Relationship TargetMode="External" Target="https://www.legis.iowa.gov/docs/iac/rule/441.79.1.pdf" Type="http://schemas.openxmlformats.org/officeDocument/2006/relationships/hyperlink" Id="rId13"/>
    <Relationship TargetMode="External" Target="https://www.legis.iowa.gov/docs/iac/rule/441.77.47.pdf" Type="http://schemas.openxmlformats.org/officeDocument/2006/relationships/hyperlink" Id="rId14"/>
    <Relationship TargetMode="External" Target="https://www.legis.iowa.gov/docs/iac/rule/441.79.1.pdf" Type="http://schemas.openxmlformats.org/officeDocument/2006/relationships/hyperlink" Id="rId15"/>
    <Relationship TargetMode="External" Target="https://www.legis.iowa.gov/docs/iac/rule/441.79.1.pdf" Type="http://schemas.openxmlformats.org/officeDocument/2006/relationships/hyperlink" Id="rId16"/>
    <Relationship TargetMode="External" Target="https://www.legis.iowa.gov/docs/iac/rule/441.79.1.pdf" Type="http://schemas.openxmlformats.org/officeDocument/2006/relationships/hyperlink" Id="rId17"/>
    <Relationship TargetMode="External" Target="https://www.legis.iowa.gov/docs/iac/rule/441.79.1.pdf" Type="http://schemas.openxmlformats.org/officeDocument/2006/relationships/hyperlink" Id="rId18"/>
    <Relationship TargetMode="External" Target="https://www.legis.iowa.gov/docs/iac/chapter/441.73.pdf" Type="http://schemas.openxmlformats.org/officeDocument/2006/relationships/hyperlink" Id="rId19"/>
    <Relationship TargetMode="External" Target="https://www.legis.iowa.gov/docs/iac/rule/441.79.1.pdf" Type="http://schemas.openxmlformats.org/officeDocument/2006/relationships/hyperlink" Id="rId20"/>
    <Relationship TargetMode="External" Target="https://www.legis.iowa.gov/docs/iac/rule/441.79.1.pdf" Type="http://schemas.openxmlformats.org/officeDocument/2006/relationships/hyperlink" Id="rId21"/>
    <Relationship TargetMode="External" Target="https://www.legis.iowa.gov/docs/iac/rule/441.79.1.pdf" Type="http://schemas.openxmlformats.org/officeDocument/2006/relationships/hyperlink" Id="rId22"/>
    <Relationship TargetMode="External" Target="https://www.legis.iowa.gov/docs/iac/rule/441.79.1.pdf" Type="http://schemas.openxmlformats.org/officeDocument/2006/relationships/hyperlink" Id="rId23"/>
    <Relationship TargetMode="External" Target="https://www.legis.iowa.gov/docs/iac/rule/441.79.1.pdf" Type="http://schemas.openxmlformats.org/officeDocument/2006/relationships/hyperlink" Id="rId24"/>
    <Relationship TargetMode="External" Target="https://www.legis.iowa.gov/docs/iac/rule/441.79.1.pdf" Type="http://schemas.openxmlformats.org/officeDocument/2006/relationships/hyperlink" Id="rId25"/>
    <Relationship TargetMode="External" Target="https://www.legis.iowa.gov/docs/iac/rule/441.79.1.pdf" Type="http://schemas.openxmlformats.org/officeDocument/2006/relationships/hyperlink" Id="rId26"/>
    <Relationship TargetMode="External" Target="https://www.legis.iowa.gov/docs/iac/rule/441.79.1.pdf" Type="http://schemas.openxmlformats.org/officeDocument/2006/relationships/hyperlink" Id="rId27"/>
    <Relationship TargetMode="External" Target="https://www.legis.iowa.gov/docs/iac/rule/441.79.1.pdf" Type="http://schemas.openxmlformats.org/officeDocument/2006/relationships/hyperlink" Id="rId28"/>
    <Relationship TargetMode="External" Target="https://www.legis.iowa.gov/docs/iac/rule/441.79.1.pdf" Type="http://schemas.openxmlformats.org/officeDocument/2006/relationships/hyperlink" Id="rId29"/>
    <Relationship TargetMode="External" Target="https://www.legis.iowa.gov/docs/iac/rule/441.79.1.pdf" Type="http://schemas.openxmlformats.org/officeDocument/2006/relationships/hyperlink" Id="rId30"/>
    <Relationship TargetMode="External" Target="https://www.legis.iowa.gov/docs/iac/rule/441.79.1.pdf" Type="http://schemas.openxmlformats.org/officeDocument/2006/relationships/hyperlink" Id="rId31"/>
    <Relationship TargetMode="External" Target="https://www.legis.iowa.gov/docs/iac/rule/441.79.1.pdf" Type="http://schemas.openxmlformats.org/officeDocument/2006/relationships/hyperlink" Id="rId32"/>
    <Relationship TargetMode="External" Target="https://www.legis.iowa.gov/docs/iac/rule/441.79.1.pdf" Type="http://schemas.openxmlformats.org/officeDocument/2006/relationships/hyperlink" Id="rId33"/>
    <Relationship TargetMode="External" Target="https://www.legis.iowa.gov/docs/iac/rule/441.79.1.pdf" Type="http://schemas.openxmlformats.org/officeDocument/2006/relationships/hyperlink" Id="rId34"/>
    <Relationship TargetMode="External" Target="https://www.legis.iowa.gov/docs/iac/rule/441.79.1.pdf" Type="http://schemas.openxmlformats.org/officeDocument/2006/relationships/hyperlink" Id="rId35"/>
    <Relationship TargetMode="External" Target="https://www.legis.iowa.gov/docs/iac/rule/441.79.1.pdf" Type="http://schemas.openxmlformats.org/officeDocument/2006/relationships/hyperlink" Id="rId36"/>
    <Relationship TargetMode="External" Target="https://www.legis.iowa.gov/docs/iac/rule/441.79.1.pdf" Type="http://schemas.openxmlformats.org/officeDocument/2006/relationships/hyperlink" Id="rId37"/>
    <Relationship TargetMode="External" Target="https://www.legis.iowa.gov/docs/iac/rule/441.79.1.pdf" Type="http://schemas.openxmlformats.org/officeDocument/2006/relationships/hyperlink" Id="rId38"/>
    <Relationship TargetMode="External" Target="https://www.legis.iowa.gov/docs/iac/rule/441.79.1.pdf" Type="http://schemas.openxmlformats.org/officeDocument/2006/relationships/hyperlink" Id="rId39"/>
    <Relationship TargetMode="External" Target="https://www.legis.iowa.gov/docs/iac/rule/441.78.34.pdf" Type="http://schemas.openxmlformats.org/officeDocument/2006/relationships/hyperlink" Id="rId40"/>
    <Relationship TargetMode="External" Target="https://www.legis.iowa.gov/docs/iac/rule/441.79.9.pdf" Type="http://schemas.openxmlformats.org/officeDocument/2006/relationships/hyperlink" Id="rId41"/>
    <Relationship TargetMode="External" Target="https://www.legis.iowa.gov/docs/iac/rule/441.78.34.pdf" Type="http://schemas.openxmlformats.org/officeDocument/2006/relationships/hyperlink" Id="rId42"/>
    <Relationship TargetMode="External" Target="https://www.legis.iowa.gov/docs/iac/rule/441.79.9.pdf" Type="http://schemas.openxmlformats.org/officeDocument/2006/relationships/hyperlink" Id="rId43"/>
    <Relationship TargetMode="External" Target="https://www.legis.iowa.gov/docs/iac/rule/441.78.34.pdf" Type="http://schemas.openxmlformats.org/officeDocument/2006/relationships/hyperlink" Id="rId44"/>
    <Relationship TargetMode="External" Target="https://www.legis.iowa.gov/docs/iac/rule/441.79.1.pdf" Type="http://schemas.openxmlformats.org/officeDocument/2006/relationships/hyperlink" Id="rId45"/>
    <Relationship TargetMode="External" Target="https://www.legis.iowa.gov/docs/iac/rule/441.81.5.pdf" Type="http://schemas.openxmlformats.org/officeDocument/2006/relationships/hyperlink" Id="rId46"/>
    <Relationship TargetMode="External" Target="https://www.legis.iowa.gov/docs/iac/rule/441.79.1.pdf" Type="http://schemas.openxmlformats.org/officeDocument/2006/relationships/hyperlink" Id="rId47"/>
    <Relationship TargetMode="External" Target="https://www.legis.iowa.gov/docs/iac/rule/441.79.1.pdf" Type="http://schemas.openxmlformats.org/officeDocument/2006/relationships/hyperlink" Id="rId48"/>
    <Relationship TargetMode="External" Target="https://www.legis.iowa.gov/docs/iac/rule/441.79.1.pdf" Type="http://schemas.openxmlformats.org/officeDocument/2006/relationships/hyperlink" Id="rId49"/>
    <Relationship TargetMode="External" Target="https://www.legis.iowa.gov/docs/iac/rule/441.79.1.pdf" Type="http://schemas.openxmlformats.org/officeDocument/2006/relationships/hyperlink" Id="rId50"/>
    <Relationship TargetMode="External" Target="https://www.legis.iowa.gov/docs/iac/rule/441.79.1.pdf" Type="http://schemas.openxmlformats.org/officeDocument/2006/relationships/hyperlink" Id="rId51"/>
    <Relationship TargetMode="External" Target="https://www.legis.iowa.gov/docs/iac/rule/441.79.1.pdf" Type="http://schemas.openxmlformats.org/officeDocument/2006/relationships/hyperlink" Id="rId52"/>
    <Relationship TargetMode="External" Target="https://www.legis.iowa.gov/docs/iac/rule/441.79.1.pdf" Type="http://schemas.openxmlformats.org/officeDocument/2006/relationships/hyperlink" Id="rId53"/>
    <Relationship TargetMode="External" Target="https://www.legis.iowa.gov/docs/iac/rule/441.79.1.pdf" Type="http://schemas.openxmlformats.org/officeDocument/2006/relationships/hyperlink" Id="rId54"/>
    <Relationship TargetMode="External" Target="https://www.legis.iowa.gov/docs/iac/rule/441.79.1.pdf" Type="http://schemas.openxmlformats.org/officeDocument/2006/relationships/hyperlink" Id="rId55"/>
    <Relationship TargetMode="External" Target="https://www.legis.iowa.gov/docs/iac/rule/441.82.4.pdf" Type="http://schemas.openxmlformats.org/officeDocument/2006/relationships/hyperlink" Id="rId56"/>
    <Relationship TargetMode="External" Target="https://www.legis.iowa.gov/docs/iac/rule/441.81.8.pdf" Type="http://schemas.openxmlformats.org/officeDocument/2006/relationships/hyperlink" Id="rId57"/>
    <Relationship TargetMode="External" Target="https://www.legis.iowa.gov/docs/iac/rule/441.81.5.pdf" Type="http://schemas.openxmlformats.org/officeDocument/2006/relationships/hyperlink" Id="rId58"/>
    <Relationship TargetMode="External" Target="https://www.legis.iowa.gov/docs/iac/rule/441.81.5.pdf" Type="http://schemas.openxmlformats.org/officeDocument/2006/relationships/hyperlink" Id="rId59"/>
    <Relationship TargetMode="External" Target="https://www.legis.iowa.gov/docs/iac/rule/441.81.5.pdf" Type="http://schemas.openxmlformats.org/officeDocument/2006/relationships/hyperlink" Id="rId60"/>
    <Relationship TargetMode="External" Target="https://www.legis.iowa.gov/docs/iac/rule/441.81.5.pdf" Type="http://schemas.openxmlformats.org/officeDocument/2006/relationships/hyperlink" Id="rId61"/>
    <Relationship TargetMode="External" Target="https://www.legis.iowa.gov/docs/iac/rule/441.81.5.pdf" Type="http://schemas.openxmlformats.org/officeDocument/2006/relationships/hyperlink" Id="rId62"/>
    <Relationship TargetMode="External" Target="https://www.legis.iowa.gov/docs/iac/rule/441.81.5.pdf" Type="http://schemas.openxmlformats.org/officeDocument/2006/relationships/hyperlink" Id="rId63"/>
    <Relationship TargetMode="External" Target="https://www.legis.iowa.gov/docs/iac/rule/441.81.5.pdf" Type="http://schemas.openxmlformats.org/officeDocument/2006/relationships/hyperlink" Id="rId64"/>
    <Relationship TargetMode="External" Target="https://www.legis.iowa.gov/docs/iac/rule/441.81.5.pdf" Type="http://schemas.openxmlformats.org/officeDocument/2006/relationships/hyperlink" Id="rId65"/>
    <Relationship TargetMode="External" Target="https://www.legis.iowa.gov/docs/iac/rule/441.81.8.pdf" Type="http://schemas.openxmlformats.org/officeDocument/2006/relationships/hyperlink" Id="rId66"/>
    <Relationship TargetMode="External" Target="https://www.legis.iowa.gov/docs/iac/rule/441.81.5.pdf" Type="http://schemas.openxmlformats.org/officeDocument/2006/relationships/hyperlink" Id="rId67"/>
    <Relationship TargetMode="External" Target="https://www.legis.iowa.gov/docs/iac/rule/441.81.5.pdf" Type="http://schemas.openxmlformats.org/officeDocument/2006/relationships/hyperlink" Id="rId68"/>
    <Relationship TargetMode="External" Target="https://www.legis.iowa.gov/docs/iac/rule/441.81.5.pdf" Type="http://schemas.openxmlformats.org/officeDocument/2006/relationships/hyperlink" Id="rId69"/>
    <Relationship TargetMode="External" Target="https://www.legis.iowa.gov/docs/iac/rule/441.81.5.pdf" Type="http://schemas.openxmlformats.org/officeDocument/2006/relationships/hyperlink" Id="rId70"/>
    <Relationship TargetMode="External" Target="https://www.legis.iowa.gov/docs/iac/rule/441.81.5.pdf" Type="http://schemas.openxmlformats.org/officeDocument/2006/relationships/hyperlink" Id="rId71"/>
    <Relationship TargetMode="External" Target="https://www.legis.iowa.gov/docs/iac/rule/441.81.5.pdf" Type="http://schemas.openxmlformats.org/officeDocument/2006/relationships/hyperlink" Id="rId72"/>
    <Relationship TargetMode="External" Target="https://www.legis.iowa.gov/docs/iac/rule/441.81.5.pdf" Type="http://schemas.openxmlformats.org/officeDocument/2006/relationships/hyperlink" Id="rId73"/>
    <Relationship TargetMode="External" Target="https://www.legis.iowa.gov/docs/iac/rule/441.81.5.pdf" Type="http://schemas.openxmlformats.org/officeDocument/2006/relationships/hyperlink" Id="rId74"/>
    <Relationship TargetMode="External" Target="https://www.legis.iowa.gov/docs/iac/rule/441.81.5.pdf" Type="http://schemas.openxmlformats.org/officeDocument/2006/relationships/hyperlink" Id="rId75"/>
    <Relationship TargetMode="External" Target="https://www.legis.iowa.gov/docs/iac/rule/441.79.1.pdf" Type="http://schemas.openxmlformats.org/officeDocument/2006/relationships/hyperlink" Id="rId76"/>
    <Relationship TargetMode="External" Target="https://www.legis.iowa.gov/docs/iac/rule/441.79.1.pdf" Type="http://schemas.openxmlformats.org/officeDocument/2006/relationships/hyperlink" Id="rId77"/>
    <Relationship TargetMode="External" Target="https://www.legis.iowa.gov/docs/iac/rule/441.81.5.pdf" Type="http://schemas.openxmlformats.org/officeDocument/2006/relationships/hyperlink" Id="rId78"/>
    <Relationship TargetMode="External" Target="https://www.legis.iowa.gov/docs/iac/rule/441.79.1.pdf" Type="http://schemas.openxmlformats.org/officeDocument/2006/relationships/hyperlink" Id="rId79"/>
    <Relationship TargetMode="External" Target="https://www.legis.iowa.gov/docs/iac/rule/441.79.1.pdf" Type="http://schemas.openxmlformats.org/officeDocument/2006/relationships/hyperlink" Id="rId80"/>
    <Relationship TargetMode="External" Target="https://www.legis.iowa.gov/docs/iac/rule/441.79.1.pdf" Type="http://schemas.openxmlformats.org/officeDocument/2006/relationships/hyperlink" Id="rId81"/>
    <Relationship TargetMode="External" Target="https://www.legis.iowa.gov/docs/iac/rule/441.79.1.pdf" Type="http://schemas.openxmlformats.org/officeDocument/2006/relationships/hyperlink" Id="rId82"/>
    <Relationship TargetMode="External" Target="https://www.legis.iowa.gov/docs/iac/rule/441.79.1.pdf" Type="http://schemas.openxmlformats.org/officeDocument/2006/relationships/hyperlink" Id="rId83"/>
    <Relationship TargetMode="External" Target="https://www.legis.iowa.gov/docs/iac/rule/441.79.1.pdf" Type="http://schemas.openxmlformats.org/officeDocument/2006/relationships/hyperlink" Id="rId84"/>
    <Relationship TargetMode="External" Target="https://www.legis.iowa.gov/docs/iac/rule/441.79.1.pdf" Type="http://schemas.openxmlformats.org/officeDocument/2006/relationships/hyperlink" Id="rId85"/>
    <Relationship TargetMode="External" Target="https://www.legis.iowa.gov/docs/iac/rule/441.81.5.pdf" Type="http://schemas.openxmlformats.org/officeDocument/2006/relationships/hyperlink" Id="rId86"/>
    <Relationship TargetMode="External" Target="https://www.legis.iowa.gov/docs/iac/rule/441.79.1.pdf" Type="http://schemas.openxmlformats.org/officeDocument/2006/relationships/hyperlink" Id="rId87"/>
    <Relationship TargetMode="External" Target="https://www.legis.iowa.gov/docs/iac/chapter/441.73.pdf" Type="http://schemas.openxmlformats.org/officeDocument/2006/relationships/hyperlink" Id="rId88"/>
    <Relationship TargetMode="External" Target="https://www.legis.iowa.gov/docs/iac/rule/441.79.1.pdf" Type="http://schemas.openxmlformats.org/officeDocument/2006/relationships/hyperlink" Id="rId89"/>
    <Relationship TargetMode="External" Target="https://www.legis.iowa.gov/docs/iac/rule/441.78.10.pdf" Type="http://schemas.openxmlformats.org/officeDocument/2006/relationships/hyperlink" Id="rId90"/>
    <Relationship TargetMode="External" Target="https://www.legis.iowa.gov/docs/iac/rule/441.79.1.pdf" Type="http://schemas.openxmlformats.org/officeDocument/2006/relationships/hyperlink" Id="rId91"/>
    <Relationship TargetMode="External" Target="https://www.legis.iowa.gov/docs/iac/rule/441.79.1.pdf" Type="http://schemas.openxmlformats.org/officeDocument/2006/relationships/hyperlink" Id="rId92"/>
    <Relationship TargetMode="External" Target="https://www.legis.iowa.gov/docs/iac/rule/481.51.27.pdf" Type="http://schemas.openxmlformats.org/officeDocument/2006/relationships/hyperlink" Id="rId93"/>
    <Relationship TargetMode="External" Target="https://www.legis.iowa.gov/docs/iac/rule/441.79.1.pdf" Type="http://schemas.openxmlformats.org/officeDocument/2006/relationships/hyperlink" Id="rId94"/>
    <Relationship TargetMode="External" Target="https://www.legis.iowa.gov/docs/iac/rule/441.79.1.pdf" Type="http://schemas.openxmlformats.org/officeDocument/2006/relationships/hyperlink" Id="rId95"/>
    <Relationship TargetMode="External" Target="https://www.legis.iowa.gov/docs/iac/rule/441.79.1.pdf" Type="http://schemas.openxmlformats.org/officeDocument/2006/relationships/hyperlink" Id="rId96"/>
    <Relationship TargetMode="External" Target="https://www.legis.iowa.gov/docs/iac/rule/441.79.1.pdf" Type="http://schemas.openxmlformats.org/officeDocument/2006/relationships/hyperlink" Id="rId97"/>
    <Relationship TargetMode="External" Target="https://www.legis.iowa.gov/docs/iac/rule/441.79.1.pdf" Type="http://schemas.openxmlformats.org/officeDocument/2006/relationships/hyperlink" Id="rId98"/>
    <Relationship TargetMode="External" Target="https://www.legis.iowa.gov/docs/iac/rule/441.79.1.pdf" Type="http://schemas.openxmlformats.org/officeDocument/2006/relationships/hyperlink" Id="rId99"/>
    <Relationship TargetMode="External" Target="https://www.legis.iowa.gov/docs/iac/rule/441.79.1.pdf" Type="http://schemas.openxmlformats.org/officeDocument/2006/relationships/hyperlink" Id="rId100"/>
    <Relationship TargetMode="External" Target="https://www.legis.iowa.gov/docs/iac/rule/441.79.1.pdf" Type="http://schemas.openxmlformats.org/officeDocument/2006/relationships/hyperlink" Id="rId101"/>
    <Relationship TargetMode="External" Target="https://www.legis.iowa.gov/docs/iac/rule/441.79.1.pdf" Type="http://schemas.openxmlformats.org/officeDocument/2006/relationships/hyperlink" Id="rId102"/>
    <Relationship TargetMode="External" Target="https://www.legis.iowa.gov/docs/iac/rule/441.79.1.pdf" Type="http://schemas.openxmlformats.org/officeDocument/2006/relationships/hyperlink" Id="rId103"/>
    <Relationship TargetMode="External" Target="https://www.legis.iowa.gov/docs/iac/rule/441.79.1.pdf" Type="http://schemas.openxmlformats.org/officeDocument/2006/relationships/hyperlink" Id="rId104"/>
    <Relationship TargetMode="External" Target="https://www.legis.iowa.gov/docs/iac/rule/441.79.1.pdf" Type="http://schemas.openxmlformats.org/officeDocument/2006/relationships/hyperlink" Id="rId105"/>
    <Relationship TargetMode="External" Target="https://www.legis.iowa.gov/docs/iac/rule/441.79.1.pdf" Type="http://schemas.openxmlformats.org/officeDocument/2006/relationships/hyperlink" Id="rId106"/>
    <Relationship TargetMode="External" Target="https://www.legis.iowa.gov/docs/iac/rule/441.79.1.pdf" Type="http://schemas.openxmlformats.org/officeDocument/2006/relationships/hyperlink" Id="rId107"/>
    <Relationship TargetMode="External" Target="https://www.legis.iowa.gov/docs/iac/rule/441.79.1.pdf" Type="http://schemas.openxmlformats.org/officeDocument/2006/relationships/hyperlink" Id="rId108"/>
    <Relationship TargetMode="External" Target="https://www.legis.iowa.gov/docs/iac/rule/441.79.1.pdf" Type="http://schemas.openxmlformats.org/officeDocument/2006/relationships/hyperlink" Id="rId109"/>
    <Relationship TargetMode="External" Target="https://www.legis.iowa.gov/docs/iac/rule/441.79.1.pdf" Type="http://schemas.openxmlformats.org/officeDocument/2006/relationships/hyperlink" Id="rId110"/>
    <Relationship TargetMode="External" Target="https://www.legis.iowa.gov/docs/iac/rule/441.79.1.pdf" Type="http://schemas.openxmlformats.org/officeDocument/2006/relationships/hyperlink" Id="rId111"/>
    <Relationship TargetMode="External" Target="https://www.legis.iowa.gov/docs/iac/rule/441.79.1.pdf" Type="http://schemas.openxmlformats.org/officeDocument/2006/relationships/hyperlink" Id="rId112"/>
    <Relationship TargetMode="External" Target="https://www.legis.iowa.gov/docs/iac/rule/441.78.3.pdf" Type="http://schemas.openxmlformats.org/officeDocument/2006/relationships/hyperlink" Id="rId113"/>
    <Relationship TargetMode="External" Target="https://www.legis.iowa.gov/docs/iac/rule/441.79.1.pdf" Type="http://schemas.openxmlformats.org/officeDocument/2006/relationships/hyperlink" Id="rId114"/>
    <Relationship TargetMode="External" Target="https://www.legis.iowa.gov/docs/iac/rule/441.79.1.pdf" Type="http://schemas.openxmlformats.org/officeDocument/2006/relationships/hyperlink" Id="rId115"/>
    <Relationship TargetMode="External" Target="https://www.legis.iowa.gov/docs/iac/rule/441.79.1.pdf" Type="http://schemas.openxmlformats.org/officeDocument/2006/relationships/hyperlink" Id="rId116"/>
    <Relationship TargetMode="External" Target="https://www.legis.iowa.gov/docs/iac/rule/441.79.1.pdf" Type="http://schemas.openxmlformats.org/officeDocument/2006/relationships/hyperlink" Id="rId117"/>
    <Relationship TargetMode="External" Target="https://www.legis.iowa.gov/docs/iac/rule/441.79.1.pdf" Type="http://schemas.openxmlformats.org/officeDocument/2006/relationships/hyperlink" Id="rId118"/>
    <Relationship TargetMode="External" Target="https://www.legis.iowa.gov/docs/iac/rule/441.79.1.pdf" Type="http://schemas.openxmlformats.org/officeDocument/2006/relationships/hyperlink" Id="rId119"/>
    <Relationship TargetMode="External" Target="https://www.legis.iowa.gov/docs/iac/rule/441.79.1.pdf" Type="http://schemas.openxmlformats.org/officeDocument/2006/relationships/hyperlink" Id="rId120"/>
    <Relationship TargetMode="External" Target="https://www.legis.iowa.gov/docs/iac/rule/441.79.1.pdf" Type="http://schemas.openxmlformats.org/officeDocument/2006/relationships/hyperlink" Id="rId121"/>
    <Relationship TargetMode="External" Target="https://www.legis.iowa.gov/docs/iac/rule/441.79.1.pdf" Type="http://schemas.openxmlformats.org/officeDocument/2006/relationships/hyperlink" Id="rId122"/>
    <Relationship TargetMode="External" Target="https://www.legis.iowa.gov/docs/iac/rule/441.79.1.pdf" Type="http://schemas.openxmlformats.org/officeDocument/2006/relationships/hyperlink" Id="rId123"/>
    <Relationship TargetMode="External" Target="https://www.legis.iowa.gov/docs/iac/rule/441.79.1.pdf" Type="http://schemas.openxmlformats.org/officeDocument/2006/relationships/hyperlink" Id="rId124"/>
    <Relationship TargetMode="External" Target="https://www.legis.iowa.gov/docs/iac/rule/441.79.1.pdf" Type="http://schemas.openxmlformats.org/officeDocument/2006/relationships/hyperlink" Id="rId125"/>
    <Relationship TargetMode="External" Target="https://www.legis.iowa.gov/docs/ico/chapter/125.pdf" Type="http://schemas.openxmlformats.org/officeDocument/2006/relationships/hyperlink" Id="rId126"/>
    <Relationship TargetMode="External" Target="https://www.legis.iowa.gov/docs/iac/rule/441.79.1.pdf" Type="http://schemas.openxmlformats.org/officeDocument/2006/relationships/hyperlink" Id="rId127"/>
    <Relationship TargetMode="External" Target="https://www.legis.iowa.gov/docs/iac/rule/441.412.27.pdf" Type="http://schemas.openxmlformats.org/officeDocument/2006/relationships/hyperlink" Id="rId128"/>
    <Relationship TargetMode="External" Target="https://www.legis.iowa.gov/docs/iac/rule/441.79.1.pdf" Type="http://schemas.openxmlformats.org/officeDocument/2006/relationships/hyperlink" Id="rId129"/>
    <Relationship TargetMode="External" Target="https://www.legis.iowa.gov/docs/iac/chapter/641.150.pdf" Type="http://schemas.openxmlformats.org/officeDocument/2006/relationships/hyperlink" Id="rId130"/>
    <Relationship TargetMode="External" Target="https://www.legis.iowa.gov/docs/iac/rule/441.79.1.pdf" Type="http://schemas.openxmlformats.org/officeDocument/2006/relationships/hyperlink" Id="rId131"/>
    <Relationship TargetMode="External" Target="https://www.legis.iowa.gov/docs/iac/rule/441.412.27.pdf" Type="http://schemas.openxmlformats.org/officeDocument/2006/relationships/hyperlink" Id="rId132"/>
    <Relationship TargetMode="External" Target="https://www.legis.iowa.gov/docs/iac/rule/441.79.1.pdf" Type="http://schemas.openxmlformats.org/officeDocument/2006/relationships/hyperlink" Id="rId133"/>
    <Relationship TargetMode="External" Target="https://www.legis.iowa.gov/docs/iac/chapter/441.36.pdf" Type="http://schemas.openxmlformats.org/officeDocument/2006/relationships/hyperlink" Id="rId134"/>
    <Relationship TargetMode="External" Target="https://www.legis.iowa.gov/docs/iac/rule/441.36.5.pdf" Type="http://schemas.openxmlformats.org/officeDocument/2006/relationships/hyperlink" Id="rId135"/>
    <Relationship TargetMode="External" Target="https://www.legis.iowa.gov/docs/iac/chapter/441.36.pdf" Type="http://schemas.openxmlformats.org/officeDocument/2006/relationships/hyperlink" Id="rId136"/>
    <Relationship TargetMode="External" Target="https://www.legis.iowa.gov/docs/iac/rule/441.79.1.pdf" Type="http://schemas.openxmlformats.org/officeDocument/2006/relationships/hyperlink" Id="rId137"/>
    <Relationship TargetMode="External" Target="https://www.legis.iowa.gov/docs/iac/rule/441.79.1.pdf" Type="http://schemas.openxmlformats.org/officeDocument/2006/relationships/hyperlink" Id="rId138"/>
    <Relationship TargetMode="External" Target="https://www.legis.iowa.gov/docs/iac/rule/441.79.1.pdf" Type="http://schemas.openxmlformats.org/officeDocument/2006/relationships/hyperlink" Id="rId139"/>
    <Relationship TargetMode="External" Target="https://www.legis.iowa.gov/docs/iac/rule/441.79.1.pdf" Type="http://schemas.openxmlformats.org/officeDocument/2006/relationships/hyperlink" Id="rId140"/>
    <Relationship TargetMode="External" Target="https://www.legis.iowa.gov/docs/iac/rule/441.79.1.pdf" Type="http://schemas.openxmlformats.org/officeDocument/2006/relationships/hyperlink" Id="rId141"/>
    <Relationship TargetMode="External" Target="https://www.legis.iowa.gov/docs/iac/rule/441.79.1.pdf" Type="http://schemas.openxmlformats.org/officeDocument/2006/relationships/hyperlink" Id="rId142"/>
    <Relationship TargetMode="External" Target="https://www.legis.iowa.gov/docs/iac/rule/441.79.1.pdf" Type="http://schemas.openxmlformats.org/officeDocument/2006/relationships/hyperlink" Id="rId143"/>
    <Relationship TargetMode="External" Target="https://www.legis.iowa.gov/docs/iac/rule/441.79.5.pdf" Type="http://schemas.openxmlformats.org/officeDocument/2006/relationships/hyperlink" Id="rId144"/>
    <Relationship TargetMode="External" Target="https://www.legis.iowa.gov/docs/iac/rule/441.79.1.pdf" Type="http://schemas.openxmlformats.org/officeDocument/2006/relationships/hyperlink" Id="rId145"/>
    <Relationship TargetMode="External" Target="https://www.legis.iowa.gov/docs/iac/rule/441.79.1.pdf" Type="http://schemas.openxmlformats.org/officeDocument/2006/relationships/hyperlink" Id="rId146"/>
    <Relationship TargetMode="External" Target="https://www.legis.iowa.gov/docs/iac/rule/441.79.1.pdf" Type="http://schemas.openxmlformats.org/officeDocument/2006/relationships/hyperlink" Id="rId147"/>
    <Relationship TargetMode="External" Target="https://www.legis.iowa.gov/docs/iac/rule/441.79.1.pdf" Type="http://schemas.openxmlformats.org/officeDocument/2006/relationships/hyperlink" Id="rId148"/>
    <Relationship TargetMode="External" Target="https://www.legis.iowa.gov/docs/iac/rule/441.79.1.pdf" Type="http://schemas.openxmlformats.org/officeDocument/2006/relationships/hyperlink" Id="rId149"/>
    <Relationship TargetMode="External" Target="https://www.legis.iowa.gov/docs/iac/rule/441.79.1.pdf" Type="http://schemas.openxmlformats.org/officeDocument/2006/relationships/hyperlink" Id="rId150"/>
    <Relationship TargetMode="External" Target="https://www.legis.iowa.gov/docs/iac/rule/441.79.1.pdf" Type="http://schemas.openxmlformats.org/officeDocument/2006/relationships/hyperlink" Id="rId151"/>
    <Relationship TargetMode="External" Target="https://www.legis.iowa.gov/docs/iac/rule/441.79.1.pdf" Type="http://schemas.openxmlformats.org/officeDocument/2006/relationships/hyperlink" Id="rId152"/>
    <Relationship TargetMode="External" Target="https://www.legis.iowa.gov/docs/iac/rule/441.79.1.pdf" Type="http://schemas.openxmlformats.org/officeDocument/2006/relationships/hyperlink" Id="rId153"/>
    <Relationship TargetMode="External" Target="https://www.legis.iowa.gov/docs/iac/rule/441.79.1.pdf" Type="http://schemas.openxmlformats.org/officeDocument/2006/relationships/hyperlink" Id="rId154"/>
    <Relationship TargetMode="External" Target="https://www.legis.iowa.gov/docs/iac/rule/441.78.1.pdf" Type="http://schemas.openxmlformats.org/officeDocument/2006/relationships/hyperlink" Id="rId155"/>
    <Relationship TargetMode="External" Target="https://www.legis.iowa.gov/docs/iac/rule/441.79.1.pdf" Type="http://schemas.openxmlformats.org/officeDocument/2006/relationships/hyperlink" Id="rId156"/>
    <Relationship TargetMode="External" Target="https://www.legis.iowa.gov/docs/iac/rule/441.79.1.pdf" Type="http://schemas.openxmlformats.org/officeDocument/2006/relationships/hyperlink" Id="rId157"/>
    <Relationship TargetMode="External" Target="https://www.legis.iowa.gov/docs/iac/rule/441.79.1.pdf" Type="http://schemas.openxmlformats.org/officeDocument/2006/relationships/hyperlink" Id="rId158"/>
    <Relationship TargetMode="External" Target="https://www.legis.iowa.gov/docs/iac/rule/441.79.1.pdf" Type="http://schemas.openxmlformats.org/officeDocument/2006/relationships/hyperlink" Id="rId159"/>
    <Relationship TargetMode="External" Target="https://www.legis.iowa.gov/docs/iac/rule/441.79.1.pdf" Type="http://schemas.openxmlformats.org/officeDocument/2006/relationships/hyperlink" Id="rId160"/>
    <Relationship TargetMode="External" Target="https://www.legis.iowa.gov/docs/iac/rule/441.79.1.pdf" Type="http://schemas.openxmlformats.org/officeDocument/2006/relationships/hyperlink" Id="rId161"/>
    <Relationship TargetMode="External" Target="https://www.legis.iowa.gov/docs/iac/rule/441.79.1.pdf" Type="http://schemas.openxmlformats.org/officeDocument/2006/relationships/hyperlink" Id="rId162"/>
    <Relationship TargetMode="External" Target="https://www.legis.iowa.gov/docs/iac/rule/441.79.1.pdf" Type="http://schemas.openxmlformats.org/officeDocument/2006/relationships/hyperlink" Id="rId163"/>
    <Relationship TargetMode="External" Target="https://www.legis.iowa.gov/docs/iac/rule/441.79.1.pdf" Type="http://schemas.openxmlformats.org/officeDocument/2006/relationships/hyperlink" Id="rId164"/>
    <Relationship TargetMode="External" Target="https://www.legis.iowa.gov/docs/iac/rule/441.79.1.pdf" Type="http://schemas.openxmlformats.org/officeDocument/2006/relationships/hyperlink" Id="rId165"/>
    <Relationship TargetMode="External" Target="https://www.legis.iowa.gov/docs/iac/rule/441.79.1.pdf" Type="http://schemas.openxmlformats.org/officeDocument/2006/relationships/hyperlink" Id="rId166"/>
    <Relationship TargetMode="External" Target="https://www.legis.iowa.gov/docs/iac/rule/441.79.1.pdf" Type="http://schemas.openxmlformats.org/officeDocument/2006/relationships/hyperlink" Id="rId167"/>
    <Relationship TargetMode="External" Target="https://www.legis.iowa.gov/docs/iac/rule/441.79.1.pdf" Type="http://schemas.openxmlformats.org/officeDocument/2006/relationships/hyperlink" Id="rId168"/>
    <Relationship TargetMode="External" Target="https://www.legis.iowa.gov/docs/iac/rule/441.79.1.pdf" Type="http://schemas.openxmlformats.org/officeDocument/2006/relationships/hyperlink" Id="rId169"/>
    <Relationship TargetMode="External" Target="https://www.legis.iowa.gov/docs/iac/rule/441.79.1.pdf" Type="http://schemas.openxmlformats.org/officeDocument/2006/relationships/hyperlink" Id="rId170"/>
    <Relationship TargetMode="External" Target="https://www.legis.iowa.gov/docs/iac/rule/441.79.1.pdf" Type="http://schemas.openxmlformats.org/officeDocument/2006/relationships/hyperlink" Id="rId171"/>
    <Relationship TargetMode="External" Target="https://www.legis.iowa.gov/docs/iac/rule/441.79.1.pdf" Type="http://schemas.openxmlformats.org/officeDocument/2006/relationships/hyperlink" Id="rId172"/>
    <Relationship TargetMode="External" Target="https://www.legis.iowa.gov/docs/iac/rule/441.79.1.pdf" Type="http://schemas.openxmlformats.org/officeDocument/2006/relationships/hyperlink" Id="rId173"/>
    <Relationship TargetMode="External" Target="https://www.legis.iowa.gov/docs/iac/rule/441.79.1.pdf" Type="http://schemas.openxmlformats.org/officeDocument/2006/relationships/hyperlink" Id="rId174"/>
    <Relationship TargetMode="External" Target="https://www.legis.iowa.gov/docs/iac/rule/441.79.1.pdf" Type="http://schemas.openxmlformats.org/officeDocument/2006/relationships/hyperlink" Id="rId175"/>
    <Relationship TargetMode="External" Target="https://www.legis.iowa.gov/docs/iac/rule/441.79.1.pdf" Type="http://schemas.openxmlformats.org/officeDocument/2006/relationships/hyperlink" Id="rId176"/>
    <Relationship TargetMode="External" Target="https://www.legis.iowa.gov/docs/iac/rule/441.79.1.pdf" Type="http://schemas.openxmlformats.org/officeDocument/2006/relationships/hyperlink" Id="rId177"/>
    <Relationship TargetMode="External" Target="https://www.legis.iowa.gov/docs/iac/rule/441.79.1.pdf" Type="http://schemas.openxmlformats.org/officeDocument/2006/relationships/hyperlink" Id="rId178"/>
    <Relationship TargetMode="External" Target="https://www.legis.iowa.gov/docs/iac/rule/441.79.1.pdf" Type="http://schemas.openxmlformats.org/officeDocument/2006/relationships/hyperlink" Id="rId179"/>
    <Relationship TargetMode="External" Target="https://www.legis.iowa.gov/docs/iac/rule/441.79.1.pdf" Type="http://schemas.openxmlformats.org/officeDocument/2006/relationships/hyperlink" Id="rId180"/>
    <Relationship TargetMode="External" Target="https://www.legis.iowa.gov/docs/iac/rule/441.79.1.pdf" Type="http://schemas.openxmlformats.org/officeDocument/2006/relationships/hyperlink" Id="rId181"/>
    <Relationship TargetMode="External" Target="https://www.legis.iowa.gov/docs/iac/rule/441.79.1.pdf" Type="http://schemas.openxmlformats.org/officeDocument/2006/relationships/hyperlink" Id="rId182"/>
    <Relationship TargetMode="External" Target="https://www.legis.iowa.gov/docs/iac/rule/441.79.1.pdf" Type="http://schemas.openxmlformats.org/officeDocument/2006/relationships/hyperlink" Id="rId183"/>
    <Relationship TargetMode="External" Target="https://www.legis.iowa.gov/docs/iac/rule/441.79.1.pdf" Type="http://schemas.openxmlformats.org/officeDocument/2006/relationships/hyperlink" Id="rId184"/>
    <Relationship TargetMode="External" Target="https://www.legis.iowa.gov/docs/iac/rule/441.77.47.pdf" Type="http://schemas.openxmlformats.org/officeDocument/2006/relationships/hyperlink" Id="rId185"/>
    <Relationship TargetMode="External" Target="https://www.legis.iowa.gov/docs/iac/rule/441.77.47.pdf" Type="http://schemas.openxmlformats.org/officeDocument/2006/relationships/hyperlink" Id="rId186"/>
    <Relationship TargetMode="External" Target="https://www.legis.iowa.gov/docs/iac/rule/441.79.1.pdf" Type="http://schemas.openxmlformats.org/officeDocument/2006/relationships/hyperlink" Id="rId187"/>
    <Relationship TargetMode="External" Target="https://www.legis.iowa.gov/docs/iac/rule/441.79.1.pdf" Type="http://schemas.openxmlformats.org/officeDocument/2006/relationships/hyperlink" Id="rId188"/>
    <Relationship TargetMode="External" Target="https://www.legis.iowa.gov/docs/iac/rule/441.79.1.pdf" Type="http://schemas.openxmlformats.org/officeDocument/2006/relationships/hyperlink" Id="rId189"/>
    <Relationship TargetMode="External" Target="https://www.legis.iowa.gov/docs/iac/rule/441.79.1.pdf" Type="http://schemas.openxmlformats.org/officeDocument/2006/relationships/hyperlink" Id="rId190"/>
    <Relationship TargetMode="External" Target="https://www.legis.iowa.gov/docs/iac/rule/441.79.1.pdf" Type="http://schemas.openxmlformats.org/officeDocument/2006/relationships/hyperlink" Id="rId191"/>
    <Relationship TargetMode="External" Target="https://www.legis.iowa.gov/docs/iac/rule/441.79.1.pdf" Type="http://schemas.openxmlformats.org/officeDocument/2006/relationships/hyperlink" Id="rId192"/>
    <Relationship TargetMode="External" Target="https://www.legis.iowa.gov/docs/iac/rule/441.78.10.pdf" Type="http://schemas.openxmlformats.org/officeDocument/2006/relationships/hyperlink" Id="rId193"/>
    <Relationship TargetMode="External" Target="https://www.legis.iowa.gov/docs/iac/rule/441.77.1.pdf" Type="http://schemas.openxmlformats.org/officeDocument/2006/relationships/hyperlink" Id="rId194"/>
    <Relationship TargetMode="External" Target="https://www.legis.iowa.gov/docs/iac/rule/441.79.1.pdf" Type="http://schemas.openxmlformats.org/officeDocument/2006/relationships/hyperlink" Id="rId195"/>
    <Relationship TargetMode="External" Target="https://www.legis.iowa.gov/docs/iac/rule/441.79.1.pdf" Type="http://schemas.openxmlformats.org/officeDocument/2006/relationships/hyperlink" Id="rId196"/>
    <Relationship TargetMode="External" Target="https://www.legis.iowa.gov/docs/iac/rule/441.79.1.pdf" Type="http://schemas.openxmlformats.org/officeDocument/2006/relationships/hyperlink" Id="rId197"/>
    <Relationship TargetMode="External" Target="https://www.legis.iowa.gov/docs/iac/rule/441.79.1.pdf" Type="http://schemas.openxmlformats.org/officeDocument/2006/relationships/hyperlink" Id="rId198"/>
    <Relationship TargetMode="External" Target="https://www.legis.iowa.gov/docs/iac/rule/441.79.1.pdf" Type="http://schemas.openxmlformats.org/officeDocument/2006/relationships/hyperlink" Id="rId199"/>
    <Relationship TargetMode="External" Target="https://www.legis.iowa.gov/docs/iac/rule/441.79.1.pdf" Type="http://schemas.openxmlformats.org/officeDocument/2006/relationships/hyperlink" Id="rId200"/>
    <Relationship TargetMode="External" Target="https://www.legis.iowa.gov/docs/iac/rule/441.79.1.pdf" Type="http://schemas.openxmlformats.org/officeDocument/2006/relationships/hyperlink" Id="rId201"/>
    <Relationship TargetMode="External" Target="https://www.legis.iowa.gov/docs/iac/rule/441.82.4.pdf" Type="http://schemas.openxmlformats.org/officeDocument/2006/relationships/hyperlink" Id="rId202"/>
    <Relationship TargetMode="External" Target="https://www.legis.iowa.gov/docs/iac/rule/441.79.1.pdf" Type="http://schemas.openxmlformats.org/officeDocument/2006/relationships/hyperlink" Id="rId203"/>
    <Relationship TargetMode="External" Target="https://www.legis.iowa.gov/docs/iac/rule/441.79.1.pdf" Type="http://schemas.openxmlformats.org/officeDocument/2006/relationships/hyperlink" Id="rId204"/>
    <Relationship TargetMode="External" Target="https://www.legis.iowa.gov/docs/iac/rule/441.79.1.pdf" Type="http://schemas.openxmlformats.org/officeDocument/2006/relationships/hyperlink" Id="rId205"/>
    <Relationship TargetMode="External" Target="https://www.legis.iowa.gov/docs/iac/rule/441.79.1.pdf" Type="http://schemas.openxmlformats.org/officeDocument/2006/relationships/hyperlink" Id="rId206"/>
    <Relationship TargetMode="External" Target="https://www.legis.iowa.gov/docs/iac/rule/441.79.1.pdf" Type="http://schemas.openxmlformats.org/officeDocument/2006/relationships/hyperlink" Id="rId207"/>
    <Relationship TargetMode="External" Target="https://www.legis.iowa.gov/docs/iac/rule/441.79.1.pdf" Type="http://schemas.openxmlformats.org/officeDocument/2006/relationships/hyperlink" Id="rId208"/>
    <Relationship TargetMode="External" Target="https://www.legis.iowa.gov/docs/iac/rule/441.79.1.pdf" Type="http://schemas.openxmlformats.org/officeDocument/2006/relationships/hyperlink" Id="rId209"/>
    <Relationship TargetMode="External" Target="https://www.legis.iowa.gov/docs/iac/rule/441.79.1.pdf" Type="http://schemas.openxmlformats.org/officeDocument/2006/relationships/hyperlink" Id="rId210"/>
    <Relationship TargetMode="External" Target="https://www.legis.iowa.gov/docs/iac/rule/441.79.1.pdf" Type="http://schemas.openxmlformats.org/officeDocument/2006/relationships/hyperlink" Id="rId211"/>
    <Relationship TargetMode="External" Target="https://www.legis.iowa.gov/docs/iac/rule/441.79.1.pdf" Type="http://schemas.openxmlformats.org/officeDocument/2006/relationships/hyperlink" Id="rId212"/>
    <Relationship TargetMode="External" Target="https://www.legis.iowa.gov/docs/iac/rule/441.79.1.pdf" Type="http://schemas.openxmlformats.org/officeDocument/2006/relationships/hyperlink" Id="rId213"/>
    <Relationship TargetMode="External" Target="https://www.legis.iowa.gov/docs/iac/rule/441.79.1.pdf" Type="http://schemas.openxmlformats.org/officeDocument/2006/relationships/hyperlink" Id="rId214"/>
    <Relationship TargetMode="External" Target="https://www.legis.iowa.gov/docs/iac/rule/441.79.1.pdf" Type="http://schemas.openxmlformats.org/officeDocument/2006/relationships/hyperlink" Id="rId215"/>
    <Relationship TargetMode="External" Target="https://www.legis.iowa.gov/docs/iac/rule/441.79.1.pdf" Type="http://schemas.openxmlformats.org/officeDocument/2006/relationships/hyperlink" Id="rId216"/>
    <Relationship TargetMode="External" Target="https://www.legis.iowa.gov/docs/iac/rule/441.79.1.pdf" Type="http://schemas.openxmlformats.org/officeDocument/2006/relationships/hyperlink" Id="rId217"/>
    <Relationship TargetMode="External" Target="https://www.legis.iowa.gov/docs/iac/rule/441.79.1.pdf" Type="http://schemas.openxmlformats.org/officeDocument/2006/relationships/hyperlink" Id="rId218"/>
    <Relationship TargetMode="External" Target="https://www.legis.iowa.gov/docs/iac/rule/441.79.1.pdf" Type="http://schemas.openxmlformats.org/officeDocument/2006/relationships/hyperlink" Id="rId219"/>
    <Relationship TargetMode="External" Target="https://www.legis.iowa.gov/docs/iac/rule/441.79.1.pdf" Type="http://schemas.openxmlformats.org/officeDocument/2006/relationships/hyperlink" Id="rId220"/>
    <Relationship TargetMode="External" Target="https://www.legis.iowa.gov/docs/iac/rule/441.79.1.pdf" Type="http://schemas.openxmlformats.org/officeDocument/2006/relationships/hyperlink" Id="rId221"/>
    <Relationship TargetMode="External" Target="https://www.legis.iowa.gov/docs/iac/rule/441.79.1.pdf" Type="http://schemas.openxmlformats.org/officeDocument/2006/relationships/hyperlink" Id="rId222"/>
    <Relationship TargetMode="External" Target="https://www.legis.iowa.gov/docs/iac/rule/441.79.1.pdf" Type="http://schemas.openxmlformats.org/officeDocument/2006/relationships/hyperlink" Id="rId223"/>
    <Relationship TargetMode="External" Target="https://www.legis.iowa.gov/docs/iac/rule/441.79.1.pdf" Type="http://schemas.openxmlformats.org/officeDocument/2006/relationships/hyperlink" Id="rId224"/>
    <Relationship TargetMode="External" Target="https://www.legis.iowa.gov/docs/iac/rule/441.79.1.pdf" Type="http://schemas.openxmlformats.org/officeDocument/2006/relationships/hyperlink" Id="rId225"/>
    <Relationship TargetMode="External" Target="https://www.legis.iowa.gov/docs/iac/rule/441.79.1.pdf" Type="http://schemas.openxmlformats.org/officeDocument/2006/relationships/hyperlink" Id="rId226"/>
    <Relationship TargetMode="External" Target="https://www.legis.iowa.gov/docs/iac/rule/441.79.1.pdf" Type="http://schemas.openxmlformats.org/officeDocument/2006/relationships/hyperlink" Id="rId227"/>
    <Relationship TargetMode="External" Target="https://www.legis.iowa.gov/docs/iac/rule/441.79.1.pdf" Type="http://schemas.openxmlformats.org/officeDocument/2006/relationships/hyperlink" Id="rId228"/>
    <Relationship TargetMode="External" Target="https://www.legis.iowa.gov/docs/iac/rule/441.79.1.pdf" Type="http://schemas.openxmlformats.org/officeDocument/2006/relationships/hyperlink" Id="rId229"/>
    <Relationship TargetMode="External" Target="https://www.legis.iowa.gov/docs/iac/rule/441.79.1.pdf" Type="http://schemas.openxmlformats.org/officeDocument/2006/relationships/hyperlink" Id="rId230"/>
    <Relationship TargetMode="External" Target="https://www.legis.iowa.gov/docs/iac/rule/441.79.1.pdf" Type="http://schemas.openxmlformats.org/officeDocument/2006/relationships/hyperlink" Id="rId231"/>
    <Relationship TargetMode="External" Target="https://www.legis.iowa.gov/docs/iac/rule/441.79.1.pdf" Type="http://schemas.openxmlformats.org/officeDocument/2006/relationships/hyperlink" Id="rId232"/>
    <Relationship TargetMode="External" Target="https://www.legis.iowa.gov/docs/iac/rule/441.79.1.pdf" Type="http://schemas.openxmlformats.org/officeDocument/2006/relationships/hyperlink" Id="rId233"/>
    <Relationship TargetMode="External" Target="https://www.legis.iowa.gov/docs/iac/rule/441.79.1.pdf" Type="http://schemas.openxmlformats.org/officeDocument/2006/relationships/hyperlink" Id="rId234"/>
    <Relationship TargetMode="External" Target="https://www.legis.iowa.gov/docs/iac/rule/441.79.1.pdf" Type="http://schemas.openxmlformats.org/officeDocument/2006/relationships/hyperlink" Id="rId235"/>
    <Relationship TargetMode="External" Target="https://www.legis.iowa.gov/docs/iac/rule/441.78.31.pdf" Type="http://schemas.openxmlformats.org/officeDocument/2006/relationships/hyperlink" Id="rId236"/>
    <Relationship TargetMode="External" Target="https://www.legis.iowa.gov/docs/iac/rule/441.78.31.pdf" Type="http://schemas.openxmlformats.org/officeDocument/2006/relationships/hyperlink" Id="rId237"/>
    <Relationship TargetMode="External" Target="https://www.legis.iowa.gov/docs/iac/rule/441.79.1.pdf" Type="http://schemas.openxmlformats.org/officeDocument/2006/relationships/hyperlink" Id="rId238"/>
    <Relationship TargetMode="External" Target="https://www.legis.iowa.gov/docs/iac/rule/441.79.1.pdf" Type="http://schemas.openxmlformats.org/officeDocument/2006/relationships/hyperlink" Id="rId239"/>
    <Relationship TargetMode="External" Target="https://www.legis.iowa.gov/docs/iac/rule/441.79.1.pdf" Type="http://schemas.openxmlformats.org/officeDocument/2006/relationships/hyperlink" Id="rId240"/>
    <Relationship TargetMode="External" Target="https://www.legis.iowa.gov/docs/iac/rule/441.79.1.pdf" Type="http://schemas.openxmlformats.org/officeDocument/2006/relationships/hyperlink" Id="rId241"/>
    <Relationship TargetMode="External" Target="https://www.legis.iowa.gov/docs/iac/rule/441.79.1.pdf" Type="http://schemas.openxmlformats.org/officeDocument/2006/relationships/hyperlink" Id="rId242"/>
    <Relationship TargetMode="External" Target="https://www.legis.iowa.gov/docs/iac/chapter/441.36.pdf" Type="http://schemas.openxmlformats.org/officeDocument/2006/relationships/hyperlink" Id="rId243"/>
    <Relationship TargetMode="External" Target="https://www.legis.iowa.gov/docs/iac/rule/441.36.5.pdf" Type="http://schemas.openxmlformats.org/officeDocument/2006/relationships/hyperlink" Id="rId244"/>
    <Relationship TargetMode="External" Target="https://www.legis.iowa.gov/docs/iac/chapter/441.36.pdf" Type="http://schemas.openxmlformats.org/officeDocument/2006/relationships/hyperlink" Id="rId245"/>
    <Relationship TargetMode="External" Target="https://www.legis.iowa.gov/docs/iac/rule/441.78.31.pdf" Type="http://schemas.openxmlformats.org/officeDocument/2006/relationships/hyperlink" Id="rId246"/>
    <Relationship TargetMode="External" Target="https://www.legis.iowa.gov/docs/iac/rule/441.79.1.pdf" Type="http://schemas.openxmlformats.org/officeDocument/2006/relationships/hyperlink" Id="rId247"/>
    <Relationship TargetMode="External" Target="https://www.legis.iowa.gov/docs/iac/rule/441.79.1.pdf" Type="http://schemas.openxmlformats.org/officeDocument/2006/relationships/hyperlink" Id="rId248"/>
    <Relationship TargetMode="External" Target="https://www.legis.iowa.gov/docs/iac/rule/441.79.1.pdf" Type="http://schemas.openxmlformats.org/officeDocument/2006/relationships/hyperlink" Id="rId249"/>
    <Relationship TargetMode="External" Target="https://www.legis.iowa.gov/docs/iac/rule/441.79.1.pdf" Type="http://schemas.openxmlformats.org/officeDocument/2006/relationships/hyperlink" Id="rId250"/>
    <Relationship TargetMode="External" Target="https://www.legis.iowa.gov/docs/iac/rule/441.78.47.pdf" Type="http://schemas.openxmlformats.org/officeDocument/2006/relationships/hyperlink" Id="rId251"/>
    <Relationship TargetMode="External" Target="https://www.legis.iowa.gov/docs/iac/rule/441.79.1.pdf" Type="http://schemas.openxmlformats.org/officeDocument/2006/relationships/hyperlink" Id="rId252"/>
    <Relationship TargetMode="External" Target="https://www.legis.iowa.gov/docs/iac/rule/441.79.1.pdf" Type="http://schemas.openxmlformats.org/officeDocument/2006/relationships/hyperlink" Id="rId253"/>
    <Relationship TargetMode="External" Target="https://www.legis.iowa.gov/docs/iac/rule/441.75.6.pdf" Type="http://schemas.openxmlformats.org/officeDocument/2006/relationships/hyperlink" Id="rId254"/>
    <Relationship TargetMode="External" Target="https://www.legis.iowa.gov/docs/iac/rule/441.79.1.pdf" Type="http://schemas.openxmlformats.org/officeDocument/2006/relationships/hyperlink" Id="rId255"/>
    <Relationship TargetMode="External" Target="https://www.legis.iowa.gov/docs/iac/rule/441.79.1.pdf" Type="http://schemas.openxmlformats.org/officeDocument/2006/relationships/hyperlink" Id="rId256"/>
    <Relationship TargetMode="External" Target="https://www.legis.iowa.gov/docs/iac/rule/441.79.1.pdf" Type="http://schemas.openxmlformats.org/officeDocument/2006/relationships/hyperlink" Id="rId257"/>
    <Relationship TargetMode="External" Target="https://www.legis.iowa.gov/docs/iac/rule/441.79.2.pdf" Type="http://schemas.openxmlformats.org/officeDocument/2006/relationships/hyperlink" Id="rId258"/>
    <Relationship TargetMode="External" Target="https://www.legis.iowa.gov/docs/iac/rule/441.79.1.pdf" Type="http://schemas.openxmlformats.org/officeDocument/2006/relationships/hyperlink" Id="rId259"/>
    <Relationship TargetMode="External" Target="https://www.legis.iowa.gov/docs/iac/rule/441.79.1.pdf" Type="http://schemas.openxmlformats.org/officeDocument/2006/relationships/hyperlink" Id="rId260"/>
    <Relationship TargetMode="External" Target="https://www.legis.iowa.gov/docs/iac/rule/441.75.1.pdf" Type="http://schemas.openxmlformats.org/officeDocument/2006/relationships/hyperlink" Id="rId261"/>
    <Relationship TargetMode="External" Target="https://www.legis.iowa.gov/docs/iac/rule/441.75.21.pdf" Type="http://schemas.openxmlformats.org/officeDocument/2006/relationships/hyperlink" Id="rId262"/>
    <Relationship TargetMode="External" Target="https://www.legis.iowa.gov/docs/iac/rule/441.75.21.pdf" Type="http://schemas.openxmlformats.org/officeDocument/2006/relationships/hyperlink" Id="rId263"/>
    <Relationship TargetMode="External" Target="https://www.legis.iowa.gov/docs/iac/rule/441.79.1.pdf" Type="http://schemas.openxmlformats.org/officeDocument/2006/relationships/hyperlink" Id="rId264"/>
    <Relationship TargetMode="External" Target="https://www.legis.iowa.gov/docs/iac/rule/441.79.1.pdf" Type="http://schemas.openxmlformats.org/officeDocument/2006/relationships/hyperlink" Id="rId265"/>
    <Relationship TargetMode="External" Target="https://www.legis.iowa.gov/docs/iac/rule/441.83.64.pdf" Type="http://schemas.openxmlformats.org/officeDocument/2006/relationships/hyperlink" Id="rId266"/>
    <Relationship Target="footer.xml" Type="http://schemas.openxmlformats.org/officeDocument/2006/relationships/footer" Id="rId26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