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441—78.55</w:t>
      </w:r>
      <w:r>
        <w:rPr>
          <w:rFonts w:ascii="Times New Roman" w:hAnsi="Times New Roman"/>
          <w:b/>
          <w:i w:val="false"/>
          <w:color w:val="000000"/>
          <w:sz w:val="22"/>
        </w:rPr>
        <w:t xml:space="preserve">(249A) </w:t>
      </w:r>
      <w:r>
        <w:rPr>
          <w:rFonts w:ascii="Times New Roman" w:hAnsi="Times New Roman"/>
          <w:b/>
          <w:i w:val="false"/>
          <w:color w:val="000000"/>
          <w:sz w:val="22"/>
        </w:rPr>
        <w:t xml:space="preserve">Community-based neurobehavioral rehabilitation services. </w:t>
      </w:r>
      <w:r>
        <w:rPr>
          <w:rFonts w:ascii="Times New Roman" w:hAnsi="Times New Roman"/>
          <w:b w:val="false"/>
          <w:i w:val="false"/>
          <w:color w:val="000000"/>
          <w:sz w:val="22"/>
        </w:rPr>
        <w:t>Payment will be made for community-based neurobehavioral rehabilitation services that do not duplicate other services covered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“Assessment”</w:t>
      </w:r>
      <w:r>
        <w:rPr>
          <w:rFonts w:ascii="Times New Roman" w:hAnsi="Times New Roman"/>
          <w:b w:val="false"/>
          <w:i w:val="false"/>
          <w:color w:val="000000"/>
          <w:sz w:val="22"/>
        </w:rPr>
        <w:t> </w:t>
      </w:r>
      <w:r>
        <w:rPr>
          <w:rFonts w:ascii="Times New Roman" w:hAnsi="Times New Roman"/>
          <w:b w:val="false"/>
          <w:i w:val="false"/>
          <w:color w:val="000000"/>
          <w:sz w:val="22"/>
        </w:rPr>
        <w:t>means the review of the current functioning of the member using the service in regard to the member’s situation, needs, strengths,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“Brain injury”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diagnosis in accordance with rule </w:t>
      </w:r>
      <w:hyperlink r:id="rId4">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w:t>
      </w:r>
      <w:r>
        <w:rPr>
          <w:rFonts w:ascii="Times New Roman" w:hAnsi="Times New Roman"/>
          <w:b w:val="false"/>
          <w:i w:val="false"/>
          <w:color w:val="000000"/>
          <w:sz w:val="22"/>
        </w:rPr>
        <w:t> </w:t>
      </w:r>
      <w:r>
        <w:rPr>
          <w:rFonts w:ascii="Times New Roman" w:hAnsi="Times New Roman"/>
          <w:b w:val="false"/>
          <w:i w:val="false"/>
          <w:color w:val="000000"/>
          <w:sz w:val="22"/>
        </w:rPr>
        <w:t>means the services provided by trained and licensed health care professionals to restore or maintain the member’s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“Intermittent community-based neurobehavioral rehabilitation services”</w:t>
      </w:r>
      <w:r>
        <w:rPr>
          <w:rFonts w:ascii="Times New Roman" w:hAnsi="Times New Roman"/>
          <w:b w:val="false"/>
          <w:i w:val="false"/>
          <w:color w:val="000000"/>
          <w:sz w:val="22"/>
        </w:rPr>
        <w:t> </w:t>
      </w:r>
      <w:r>
        <w:rPr>
          <w:rFonts w:ascii="Times New Roman" w:hAnsi="Times New Roman"/>
          <w:b w:val="false"/>
          <w:i w:val="false"/>
          <w:color w:val="000000"/>
          <w:sz w:val="22"/>
        </w:rPr>
        <w:t>are provided to a Medicaid member on an as-needed basis to support the member and the member’s family or caregivers to assist the member to increase adaptive behaviors, decrease maladaptive behaviors, and adapt and accommodate to challenging behaviors to support the member to remain in the member’s own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been determined to be eligible for Medicaid under </w:t>
      </w:r>
      <w:hyperlink r:id="rId5">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“Neurobehavioral rehabilitation”</w:t>
      </w:r>
      <w:r>
        <w:rPr>
          <w:rFonts w:ascii="Times New Roman" w:hAnsi="Times New Roman"/>
          <w:b w:val="false"/>
          <w:i w:val="false"/>
          <w:color w:val="000000"/>
          <w:sz w:val="22"/>
        </w:rPr>
        <w:t> </w:t>
      </w:r>
      <w:r>
        <w:rPr>
          <w:rFonts w:ascii="Times New Roman" w:hAnsi="Times New Roman"/>
          <w:b w:val="false"/>
          <w:i w:val="false"/>
          <w:color w:val="000000"/>
          <w:sz w:val="22"/>
        </w:rPr>
        <w:t>refers to a specialized category of neurorehabilitation provided by a multidisciplinary team that has been trained in, and delivers, services individually designed to address cognitive, medical, behavioral and psychosocial challenges, as well as the physical manifestations of acquired brain injury. Services concurrently work to optimize functioning at personal, family and community levels, by supporting the increase of adaptive behaviors, decrease of maladaptive behaviors and adaptation and accommodation to challenging behaviors to support a member to maximize the member’s independence in activities of daily living and ability to live in the member’s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means a set of related resources and services directed to the accomplishment of a fixed set of goals for eligible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“Standardized assessment”</w:t>
      </w:r>
      <w:r>
        <w:rPr>
          <w:rFonts w:ascii="Times New Roman" w:hAnsi="Times New Roman"/>
          <w:b w:val="false"/>
          <w:i w:val="false"/>
          <w:color w:val="000000"/>
          <w:sz w:val="22"/>
        </w:rPr>
        <w:t> </w:t>
      </w:r>
      <w:r>
        <w:rPr>
          <w:rFonts w:ascii="Times New Roman" w:hAnsi="Times New Roman"/>
          <w:b w:val="false"/>
          <w:i w:val="false"/>
          <w:color w:val="000000"/>
          <w:sz w:val="22"/>
        </w:rPr>
        <w:t>means a valid, reliable, and comprehensive functional assessment tool(s) or process, or both, approved by the department for use in the assessment of a member’s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78.55(2)</w:t>
      </w:r>
      <w:r>
        <w:rPr>
          <w:rFonts w:ascii="Times New Roman" w:hAnsi="Times New Roman"/>
          <w:b w:val="false"/>
          <w:i w:val="false"/>
          <w:color w:val="000000"/>
          <w:sz w:val="22"/>
        </w:rPr>
        <w:t> </w:t>
      </w:r>
      <w:r>
        <w:rPr>
          <w:rFonts w:ascii="Times New Roman" w:hAnsi="Times New Roman"/>
          <w:b w:val="false"/>
          <w:i/>
          <w:color w:val="000000"/>
          <w:sz w:val="22"/>
        </w:rPr>
        <w:t xml:space="preserve">Member eligibility. </w:t>
      </w:r>
      <w:r>
        <w:rPr>
          <w:rFonts w:ascii="Times New Roman" w:hAnsi="Times New Roman"/>
          <w:b w:val="false"/>
          <w:i w:val="false"/>
          <w:color w:val="000000"/>
          <w:sz w:val="22"/>
        </w:rPr>
        <w:t>To be eligible to receive community-based neurobehavioral rehabilitation services, a member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Brain injury diagnosis. </w:t>
      </w:r>
      <w:r>
        <w:rPr>
          <w:rFonts w:ascii="Times New Roman" w:hAnsi="Times New Roman"/>
          <w:b w:val="false"/>
          <w:i w:val="false"/>
          <w:color w:val="000000"/>
          <w:sz w:val="22"/>
        </w:rPr>
        <w:t xml:space="preserve">To be eligible for community-based neurobehavioral rehabilitation services, the member must have a brain injury diagnosis as set forth in rule </w:t>
      </w:r>
      <w:hyperlink r:id="rId6">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Risk factors. </w:t>
      </w:r>
      <w:r>
        <w:rPr>
          <w:rFonts w:ascii="Times New Roman" w:hAnsi="Times New Roman"/>
          <w:b w:val="false"/>
          <w:i w:val="false"/>
          <w:color w:val="000000"/>
          <w:sz w:val="22"/>
        </w:rPr>
        <w:t>The member has the following post-brain injury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is exhibiting neurobehavioral symptoms in such frequency or severity that the member has undergone or is currently undergoing treatment more intensive than outpatient care and is currently hospitalized, institutionalized, incarcerated or homeless or is at risk of hospitalization, institutionalization, incarceration or homelessness;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has a history of presenting with neurobehavioral or psychiatric symptoms resulting in at least one episode that required professional supportive care more intensive than outpatient care more than once in a lifetime (e.g., emergency services, alternative home care, partial hospitalization, or inpatient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Need for assistance. </w:t>
      </w:r>
      <w:r>
        <w:rPr>
          <w:rFonts w:ascii="Times New Roman" w:hAnsi="Times New Roman"/>
          <w:b w:val="false"/>
          <w:i w:val="false"/>
          <w:color w:val="000000"/>
          <w:sz w:val="22"/>
        </w:rPr>
        <w:t>The member exhibits neurobehavioral symptoms in such frequency, severity or intensity that community-based neurobehavioral rehabilitation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Needs assessment. </w:t>
      </w:r>
      <w:r>
        <w:rPr>
          <w:rFonts w:ascii="Times New Roman" w:hAnsi="Times New Roman"/>
          <w:b w:val="false"/>
          <w:i w:val="false"/>
          <w:color w:val="000000"/>
          <w:sz w:val="22"/>
        </w:rPr>
        <w:t>The member shall have an assessment of need completed prior to admission. The member shall have the Mayo-Portland Adaptability Inventory (MPAI) assessment as amended to July 1, 2026, completed by a qualified trained assessor. The assessment of need shall document the member’s need for community-based neurobehavioral rehabilitation, and Iowa Medicaid or the member’s MCO has determined that the member is in need of specialty neurobehavioral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Standards for assessment. </w:t>
      </w:r>
      <w:r>
        <w:rPr>
          <w:rFonts w:ascii="Times New Roman" w:hAnsi="Times New Roman"/>
          <w:b w:val="false"/>
          <w:i w:val="false"/>
          <w:color w:val="000000"/>
          <w:sz w:val="22"/>
        </w:rPr>
        <w:t xml:space="preserve">Each member will have had the MPAI assessment completed within the 90 days prior to admission. In addition to the functional assessment, the needs assessment will have been completed and will include the assessment of a member’s individual physical, emotional, cognitive, medical and psychosocial residuals related to the member’s brain injury and must include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the neurobehavioral needs that put the member at risk, including but not limited to verbal aggression, physical aggression, self-harm, unwanted sexual behavior, cognitive and or behavioral perseveration, wandering or elopement, lack of motivation, lack of initiation or other unwanted social behaviors not otherwise specified.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of triggers of unwanted behaviors and the member’s ability to self-manage the member’s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member’s rehabilitation and medical care history to include medication history and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member’s employment history and the member’s barriers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member’s dietary and nutritional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member’s community accessibility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access to transportation.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member’s history of substance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member’s vulnerability to exploitation and history of risk of exploitation.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member’s history and status of relationships, natural supports and socialization.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Emergency admission. </w:t>
      </w:r>
      <w:r>
        <w:rPr>
          <w:rFonts w:ascii="Times New Roman" w:hAnsi="Times New Roman"/>
          <w:b w:val="false"/>
          <w:i w:val="false"/>
          <w:color w:val="000000"/>
          <w:sz w:val="22"/>
        </w:rPr>
        <w:t>In the event that emergency admission is required, the assessment shall be completed within ten calendar days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78.55(3)</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Community-based neurobehavioral residential rehabilitation services are provided to a member living in a three-to-five-bed residential care facility with a specialized license designation issued by the department of inspections, appeals, and licensing;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Community-based neurobehavioral intermittent rehabilitation services are provided to a member living in the member’s own residence in the community. </w:t>
      </w:r>
    </w:p>
    <w:p>
      <w:pPr>
        <w:spacing w:before="0" w:after="0"/>
        <w:ind w:left="120"/>
        <w:jc w:val="both"/>
      </w:pPr>
      <w:r>
        <w:rPr>
          <w:rFonts w:ascii="Times New Roman" w:hAnsi="Times New Roman"/>
          <w:b w:val="false"/>
          <w:i w:val="false"/>
          <w:color w:val="000000"/>
          <w:sz w:val="22"/>
        </w:rPr>
        <w:t>No payment shall be made for community-based neurobehavioral rehabilitation when provided in a medical institution such as an ICF/ID, nursing facility or skilled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Community-based neurobehavioral rehabilitation residential services identified in the treatment plan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Prescriptive programming to maintain and advance progress made in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Modifying or adapting the member’s environment to improve overall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Assistance in obtaining preventative, appropriate and timely medical and dental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Compensatory strategies to assist in managing ADLs;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with coordinating and obtaining physical, oral, or mental health care and any other professional services necessary to the member’s health and well-being;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Behavioral and cognitive programming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Medication management and consultation with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Health and wellness management including dietary and nutritional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Progressive physical strengthening, fitness and retraining;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with obtaining and use of assistive technology;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Sobriety support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Assistance with the self-identification of antecedent triggers;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Assistance with preparation for transition to less intensive services including accessing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Flexibility in programming to meet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Assistance with re-learning coping and compensatory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Support and assistance in seeking substance use and co-occurring disorders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Support and assistance with obtaining legal consultation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with community accessibility and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Assistance with re-learning household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with recreational and leisure skill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Assistance with the development and application of self-advocacy skills to navigate the service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Opportunities to learn about brain injury and individual needs following brain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Support for carrying out the member’s individual goals in the rehabilitation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Assistance with pursuit of education and employment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Protective oversight in the residential setting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Assistance and education to family, providers and other support system interests that are supporting the member receiving neurobehavioral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 xml:space="preserve">Transitional support and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(28)</w:t>
      </w:r>
      <w:r>
        <w:rPr>
          <w:rFonts w:ascii="Times New Roman" w:hAnsi="Times New Roman"/>
          <w:b w:val="false"/>
          <w:i w:val="false"/>
          <w:color w:val="000000"/>
          <w:sz w:val="22"/>
        </w:rPr>
        <w:t>  </w:t>
      </w:r>
      <w:r>
        <w:rPr>
          <w:rFonts w:ascii="Times New Roman" w:hAnsi="Times New Roman"/>
          <w:b w:val="false"/>
          <w:i w:val="false"/>
          <w:color w:val="000000"/>
          <w:sz w:val="22"/>
        </w:rPr>
        <w:t>Transportation essential to the attainment of the member’s individual goals in the rehabilitation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(29)</w:t>
      </w:r>
      <w:r>
        <w:rPr>
          <w:rFonts w:ascii="Times New Roman" w:hAnsi="Times New Roman"/>
          <w:b w:val="false"/>
          <w:i w:val="false"/>
          <w:color w:val="000000"/>
          <w:sz w:val="22"/>
        </w:rPr>
        <w:t>  </w:t>
      </w:r>
      <w:r>
        <w:rPr>
          <w:rFonts w:ascii="Times New Roman" w:hAnsi="Times New Roman"/>
          <w:b w:val="false"/>
          <w:i w:val="false"/>
          <w:color w:val="000000"/>
          <w:sz w:val="22"/>
        </w:rPr>
        <w:t xml:space="preserve">Promotion of a program structure and support for members served so they can relearn or regain skills for maximum independence, community access, and integration.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Community-based neurobehavioral rehabilitation intermittent services identified in the treatment plan may occur in the member’s own home with or on behalf of the member and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Promotion of a program structure and support for members served so they can re-learn or regain skills for maximum community inclusion and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Modifying or adapting the member’s environment to improve overall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Compensatory strategies to assist in managing ADLs;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Behavioral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Assistance with obtaining and use of assistive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Assistance with the self-identification of antecedent triggers;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Flexibility in programming to meet the member’s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Assistance with re-learning coping and compensatory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Assistance with the development and application of self-advocacy skills to navigate the service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Support for carrying out the member’s individual goals in the rehabilitation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Assistance and education to family, providers and other support system interests that are supporting the member receiving community-based neurobehavioral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Transitional support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Transportation essential to the attainment of the member’s individual goals in the rehabilitation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Approval of treatment plan. The community-based neurobehavioral services provider shall submit the proposed plan of care, the results of the member’s formal assessment, and medical documentation supporting a brain injury diagnosis to Iowa Medicaid for approval before providing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Initial treatment plan. Within 30 days of admission, the provider shall submit the member’s treatment plan to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Medicaid will approve the provider’s treatment plan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treatment plan conforms to the medical necessity requirements in subrule </w:t>
      </w:r>
      <w:hyperlink r:id="rId7">
        <w:r>
          <w:rPr>
            <w:rStyle w:val="Hyperlink"/>
            <w:rFonts w:ascii="Times New Roman" w:hAnsi="Times New Roman"/>
            <w:b w:val="false"/>
            <w:i w:val="false"/>
            <w:color w:val="000000"/>
            <w:sz w:val="22"/>
          </w:rPr>
          <w:t>78.55(4)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treatment plan is consistent with the written diagnosis and treatment recommendations made by a licensed medical professional that is a licensed neuropsychologist or neurologist, M.D., or D.O.;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treatment plan is sufficient in amount, duration, and scope to reasonably achieve its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provider can demonstrate that the provider possesses the skills and resources necessary to implement the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treatment plan does not exceed 180 days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treatment summary detailing the member’s response to treatment during the previous approval period must be submitted when approval for subsequent plans is requested.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Subsequent plans. Iowa Medicaid may approve a subsequent neurobehavioral rehabilitation treatment plan that conforms to the conditions of medical necessity pursuant to subrule </w:t>
      </w:r>
      <w:hyperlink r:id="rId8">
        <w:r>
          <w:rPr>
            <w:rStyle w:val="Hyperlink"/>
            <w:rFonts w:ascii="Times New Roman" w:hAnsi="Times New Roman"/>
            <w:b w:val="false"/>
            <w:i w:val="false"/>
            <w:color w:val="000000"/>
            <w:sz w:val="22"/>
          </w:rPr>
          <w:t>78.55(4)</w:t>
        </w:r>
      </w:hyperlink>
      <w:r>
        <w:rPr>
          <w:rFonts w:ascii="Times New Roman" w:hAnsi="Times New Roman"/>
          <w:b w:val="false"/>
          <w:i w:val="false"/>
          <w:color w:val="000000"/>
          <w:sz w:val="22"/>
        </w:rPr>
        <w:t xml:space="preserve"> and to the conditions pursuant to subrule </w:t>
      </w:r>
      <w:hyperlink r:id="rId9">
        <w:r>
          <w:rPr>
            <w:rStyle w:val="Hyperlink"/>
            <w:rFonts w:ascii="Times New Roman" w:hAnsi="Times New Roman"/>
            <w:b w:val="false"/>
            <w:i w:val="false"/>
            <w:color w:val="000000"/>
            <w:sz w:val="22"/>
          </w:rPr>
          <w:t>78.55(3)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Quality review. Iowa Medicaid may perform the quality review to evaluate: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time elapsed from referral to rehabilitation treatment plan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continuity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length of stay per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affiliation of the medical professional recommending services with the neurobehavioral rehabilitation services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Gaps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results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Member and stakeholder satisfaction;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provider’s compliance with standards listed in rule </w:t>
      </w:r>
      <w:hyperlink r:id="rId10">
        <w:r>
          <w:rPr>
            <w:rStyle w:val="Hyperlink"/>
            <w:rFonts w:ascii="Times New Roman" w:hAnsi="Times New Roman"/>
            <w:b w:val="false"/>
            <w:i w:val="false"/>
            <w:color w:val="000000"/>
            <w:sz w:val="22"/>
          </w:rPr>
          <w:t>441—77.53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78.55(4)</w:t>
      </w:r>
      <w:r>
        <w:rPr>
          <w:rFonts w:ascii="Times New Roman" w:hAnsi="Times New Roman"/>
          <w:b w:val="false"/>
          <w:i w:val="false"/>
          <w:color w:val="000000"/>
          <w:sz w:val="22"/>
        </w:rPr>
        <w:t> </w:t>
      </w:r>
      <w:r>
        <w:rPr>
          <w:rFonts w:ascii="Times New Roman" w:hAnsi="Times New Roman"/>
          <w:b w:val="false"/>
          <w:i/>
          <w:color w:val="000000"/>
          <w:sz w:val="22"/>
        </w:rPr>
        <w:t xml:space="preserve">Medical necessity. </w:t>
      </w:r>
      <w:r>
        <w:rPr>
          <w:rFonts w:ascii="Times New Roman" w:hAnsi="Times New Roman"/>
          <w:b w:val="false"/>
          <w:i w:val="false"/>
          <w:color w:val="000000"/>
          <w:sz w:val="22"/>
        </w:rPr>
        <w:t>Nothing in this rule will be deemed to exempt coverage of community-based neurobehavioral rehabilitation services from the requirement that services be medically necessary. “Medically necessary” means that the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Consistent with the diagnosis and treatment of the member’s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Required to meet the medical needs of the member and is needed for reasons other than the convenience of the member or the member’s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least costly type of service that can reasonably meet the medical needs of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accordance with the standards of good medical practice. The standards of good practice for each field of medical and remedial care covered by the Iowa Medicaid program are those standards of good practice identified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Knowledgeable Iowa clinicians practicing or teaching in the field;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professional literature regarding best practices in the field.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78.55(5)</w:t>
      </w:r>
      <w:r>
        <w:rPr>
          <w:rFonts w:ascii="Times New Roman" w:hAnsi="Times New Roman"/>
          <w:b w:val="false"/>
          <w:i w:val="false"/>
          <w:color w:val="000000"/>
          <w:sz w:val="22"/>
        </w:rPr>
        <w:t> </w:t>
      </w:r>
      <w:r>
        <w:rPr>
          <w:rFonts w:ascii="Times New Roman" w:hAnsi="Times New Roman"/>
          <w:b w:val="false"/>
          <w:i/>
          <w:color w:val="000000"/>
          <w:sz w:val="22"/>
        </w:rPr>
        <w:t xml:space="preserve">Documentation standards. </w:t>
      </w:r>
      <w:r>
        <w:rPr>
          <w:rFonts w:ascii="Times New Roman" w:hAnsi="Times New Roman"/>
          <w:b w:val="false"/>
          <w:i w:val="false"/>
          <w:color w:val="000000"/>
          <w:sz w:val="22"/>
        </w:rPr>
        <w:t xml:space="preserve">Community-based neurobehavioral rehabilitation service providers shall maintain service provision records, financial records, and clinical records in accordance with the provisions of rule </w:t>
      </w:r>
      <w:hyperlink r:id="rId11">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83.81.pdf" Type="http://schemas.openxmlformats.org/officeDocument/2006/relationships/hyperlink" Id="rId4"/>
    <Relationship TargetMode="External" Target="https://www.legis.iowa.gov/docs/iac/chapter/441.75.pdf" Type="http://schemas.openxmlformats.org/officeDocument/2006/relationships/hyperlink" Id="rId5"/>
    <Relationship TargetMode="External" Target="https://www.legis.iowa.gov/docs/iac/rule/441.83.81.pdf" Type="http://schemas.openxmlformats.org/officeDocument/2006/relationships/hyperlink" Id="rId6"/>
    <Relationship TargetMode="External" Target="https://www.legis.iowa.gov/docs/iac/rule/441.78.55.pdf" Type="http://schemas.openxmlformats.org/officeDocument/2006/relationships/hyperlink" Id="rId7"/>
    <Relationship TargetMode="External" Target="https://www.legis.iowa.gov/docs/iac/rule/441.78.55.pdf" Type="http://schemas.openxmlformats.org/officeDocument/2006/relationships/hyperlink" Id="rId8"/>
    <Relationship TargetMode="External" Target="https://www.legis.iowa.gov/docs/iac/rule/441.78.55.pdf" Type="http://schemas.openxmlformats.org/officeDocument/2006/relationships/hyperlink" Id="rId9"/>
    <Relationship TargetMode="External" Target="https://www.legis.iowa.gov/docs/iac/rule/441.77.53.pdf" Type="http://schemas.openxmlformats.org/officeDocument/2006/relationships/hyperlink" Id="rId10"/>
    <Relationship TargetMode="External" Target="https://www.legis.iowa.gov/docs/iac/rule/441.79.3.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