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441—78.52</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children’s mental health waiver services. </w:t>
      </w:r>
      <w:r>
        <w:rPr>
          <w:rFonts w:ascii="Times New Roman" w:hAnsi="Times New Roman"/>
          <w:b w:val="false"/>
          <w:i w:val="false"/>
          <w:color w:val="000000"/>
          <w:sz w:val="22"/>
        </w:rPr>
        <w:t xml:space="preserve">Payment will be approved for the following services to members eligible for the HCBS children’s mental health waiver as established in </w:t>
      </w:r>
      <w:hyperlink r:id="rId4">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78.52(1)</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children’s mental health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will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w:t>
      </w:r>
      <w:hyperlink r:id="rId5">
        <w:r>
          <w:rPr>
            <w:rStyle w:val="Hyperlink"/>
            <w:rFonts w:ascii="Times New Roman" w:hAnsi="Times New Roman"/>
            <w:b w:val="false"/>
            <w:i w:val="false"/>
            <w:color w:val="000000"/>
            <w:sz w:val="22"/>
          </w:rPr>
          <w:t>441—subrule 77.30(4)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services with a 15-minute unit of service, the rounding process outlined in paragraph </w:t>
      </w:r>
      <w:hyperlink r:id="rId6">
        <w:r>
          <w:rPr>
            <w:rStyle w:val="Hyperlink"/>
            <w:rFonts w:ascii="Times New Roman" w:hAnsi="Times New Roman"/>
            <w:b w:val="false"/>
            <w:i w:val="false"/>
            <w:color w:val="000000"/>
            <w:sz w:val="22"/>
          </w:rPr>
          <w:t>78.34(14)</w:t>
        </w:r>
      </w:hyperlink>
      <w:r>
        <w:rPr>
          <w:rFonts w:ascii="Times New Roman" w:hAnsi="Times New Roman"/>
          <w:b w:val="false"/>
          <w:i/>
          <w:color w:val="000000"/>
          <w:sz w:val="22"/>
        </w:rPr>
        <w:t>“e”</w:t>
      </w:r>
      <w:r>
        <w:rPr>
          <w:rFonts w:ascii="Times New Roman" w:hAnsi="Times New Roman"/>
          <w:b w:val="false"/>
          <w:i w:val="false"/>
          <w:color w:val="000000"/>
          <w:sz w:val="22"/>
        </w:rPr>
        <w:t xml:space="preserve"> will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78.52(2)</w:t>
      </w:r>
      <w:r>
        <w:rPr>
          <w:rFonts w:ascii="Times New Roman" w:hAnsi="Times New Roman"/>
          <w:b w:val="false"/>
          <w:i w:val="false"/>
          <w:color w:val="000000"/>
          <w:sz w:val="22"/>
        </w:rPr>
        <w:t> </w:t>
      </w:r>
      <w:r>
        <w:rPr>
          <w:rFonts w:ascii="Times New Roman" w:hAnsi="Times New Roman"/>
          <w:b w:val="false"/>
          <w:i/>
          <w:color w:val="000000"/>
          <w:sz w:val="22"/>
        </w:rPr>
        <w:t xml:space="preserve">Environmental modifications and adaptive devices.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Environmental modifications and adaptive devices include medically necessary items installed or used within the member’s home that are used by the member to address specific, documented health, mental health, or safety concerns. The following items are excluded under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Items ordinarily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Items funded by educational or vocational rehabilitation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Items provided by voluntary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Repair and maintenance of items purchased through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Fencing.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of service is one modification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each unit of service provided, the case manager shall maintain in the member’s case file a signed statement from a mental health professional on the member’s interdisciplinary team that the service has a direct relationship to the member’s diagnosis of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will be based on a fee schedule. The amount of the fee will be determined as directed in </w:t>
      </w:r>
      <w:hyperlink r:id="rId7">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78.52(3)</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support services. </w:t>
      </w:r>
      <w:r>
        <w:rPr>
          <w:rFonts w:ascii="Times New Roman" w:hAnsi="Times New Roman"/>
          <w:b w:val="false"/>
          <w:i w:val="false"/>
          <w:color w:val="000000"/>
          <w:sz w:val="22"/>
        </w:rPr>
        <w:t>Family and community support services shall support the member and the member’s family by the development and implementation of strategies and interventions that will result in the reduction of stress and depression and will increase the member’s and the family’s social and emotional strength.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Dependent on the needs of the member and the member’s family members individually or collectively, family and community support services may be provided to the member, to the member’s family members, or to the member and the family members as a family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Family and community support services shall be provided under the recommendation and direction of a mental health professional who is a member of the member’s interdisciplinary team pursuant to </w:t>
      </w:r>
      <w:hyperlink r:id="rId8">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Family and community support services shall incorporate recommended support interventions and activities, which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Developing and maintaining a crisis support network for the member and for the member’s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Modeling and coaching effective coping strategies for the member’s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Building resilience to the stigma of serious emotional disturbance for the member and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Reducing the stigma of serious emotional disturbance by the development of relationships with peers and community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Modeling and coaching the strategies and interventions identified in the member’s crisis intervention plan as defined in </w:t>
      </w:r>
      <w:hyperlink r:id="rId9">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(225A) for life situations with the member’s family and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Developing medication management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Developing personal hygiene and grooming skills that contribute to the member’s positive self-image.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Developing positive socialization and citizenship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Family and community support services may include an amount not to exceed $1,500 per member per year for transportation within the community and purchase of therapeutic resources. Therapeutic resources may include books, training materials, and visual or audio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must have identified the transportation or therapeutic resource as a support need and included that need in the case manager’s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annual amount available for transportation and therapeutic resources must be listed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member’s parent or legal guardian shall submit a signed statement that the transportation or therapeutic resource cannot be provided by the member or the member’s family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member’s Medicaid case manager will maintain a signed statement that potential community resources are unavailable and will list the community resources contacted to fund the transportation or therapeutic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transportation or therapeutic resource must not be otherwise eligible for Medicaid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components are specifically excluded from family and community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Room and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Academic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General supervision and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unit of family and community support services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78.52(4)</w:t>
      </w:r>
      <w:r>
        <w:rPr>
          <w:rFonts w:ascii="Times New Roman" w:hAnsi="Times New Roman"/>
          <w:b w:val="false"/>
          <w:i w:val="false"/>
          <w:color w:val="000000"/>
          <w:sz w:val="22"/>
        </w:rPr>
        <w:t> </w:t>
      </w:r>
      <w:r>
        <w:rPr>
          <w:rFonts w:ascii="Times New Roman" w:hAnsi="Times New Roman"/>
          <w:b w:val="false"/>
          <w:i/>
          <w:color w:val="000000"/>
          <w:sz w:val="22"/>
        </w:rPr>
        <w:t xml:space="preserve">In-home family therapy. </w:t>
      </w:r>
      <w:r>
        <w:rPr>
          <w:rFonts w:ascii="Times New Roman" w:hAnsi="Times New Roman"/>
          <w:b w:val="false"/>
          <w:i w:val="false"/>
          <w:color w:val="000000"/>
          <w:sz w:val="22"/>
        </w:rPr>
        <w:t>In-home family therapy provides skilled therapeutic services to the member and family that will increase their ability to cope with the effects of serious emotional disturbance on the family unit and the familial relationships. The service must support the family by the development of coping strategies that will enable the member to continue living within the family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goal of in-home family therapy is to maintain a cohesive family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In-home family therapy is exclusive of and cannot serve as a substitute for individual therapy, family therapy, or other mental health therapy that may be obtained through Medicaid or other funding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in-home family therapy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78.52(5)</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 xml:space="preserve">Respite care services are services provided pursuant to subrule </w:t>
      </w:r>
      <w:hyperlink r:id="rId10">
        <w:r>
          <w:rPr>
            <w:rStyle w:val="Hyperlink"/>
            <w:rFonts w:ascii="Times New Roman" w:hAnsi="Times New Roman"/>
            <w:b w:val="false"/>
            <w:i w:val="false"/>
            <w:color w:val="000000"/>
            <w:sz w:val="22"/>
          </w:rPr>
          <w:t>78.34(5)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83.pdf" Type="http://schemas.openxmlformats.org/officeDocument/2006/relationships/hyperlink" Id="rId4"/>
    <Relationship TargetMode="External" Target="https://www.legis.iowa.gov/docs/iac/rule/441.77.30.pdf" Type="http://schemas.openxmlformats.org/officeDocument/2006/relationships/hyperlink" Id="rId5"/>
    <Relationship TargetMode="External" Target="https://www.legis.iowa.gov/docs/iac/rule/441.78.34.pdf" Type="http://schemas.openxmlformats.org/officeDocument/2006/relationships/hyperlink" Id="rId6"/>
    <Relationship TargetMode="External" Target="https://www.legis.iowa.gov/docs/iac/rule/441.79.1.pdf" Type="http://schemas.openxmlformats.org/officeDocument/2006/relationships/hyperlink" Id="rId7"/>
    <Relationship TargetMode="External" Target="https://www.legis.iowa.gov/docs/iac/chapter/441.83.pdf" Type="http://schemas.openxmlformats.org/officeDocument/2006/relationships/hyperlink" Id="rId8"/>
    <Relationship TargetMode="External" Target="https://www.legis.iowa.gov/docs/iac/rule/441.24.1.pdf" Type="http://schemas.openxmlformats.org/officeDocument/2006/relationships/hyperlink" Id="rId9"/>
    <Relationship TargetMode="External" Target="https://www.legis.iowa.gov/docs/iac/rule/441.78.34.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