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441—78.46</w:t>
      </w:r>
      <w:r>
        <w:rPr>
          <w:rFonts w:ascii="Times New Roman" w:hAnsi="Times New Roman"/>
          <w:b/>
          <w:i w:val="false"/>
          <w:color w:val="000000"/>
          <w:sz w:val="22"/>
        </w:rPr>
        <w:t xml:space="preserve">(249A) </w:t>
      </w:r>
      <w:r>
        <w:rPr>
          <w:rFonts w:ascii="Times New Roman" w:hAnsi="Times New Roman"/>
          <w:b/>
          <w:i w:val="false"/>
          <w:color w:val="000000"/>
          <w:sz w:val="22"/>
        </w:rPr>
        <w:t xml:space="preserve">Physical disability waiver service. </w:t>
      </w:r>
      <w:r>
        <w:rPr>
          <w:rFonts w:ascii="Times New Roman" w:hAnsi="Times New Roman"/>
          <w:b w:val="false"/>
          <w:i w:val="false"/>
          <w:color w:val="000000"/>
          <w:sz w:val="22"/>
        </w:rPr>
        <w:t xml:space="preserve">Payment will be approved for the following services to members eligible for the HCBS physical disability waiver as established in </w:t>
      </w:r>
      <w:hyperlink r:id="rId4">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xml:space="preserve"> and as identified in the member’s service plan. Payment will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78.46(1)</w:t>
      </w:r>
      <w:r>
        <w:rPr>
          <w:rFonts w:ascii="Times New Roman" w:hAnsi="Times New Roman"/>
          <w:b w:val="false"/>
          <w:i w:val="false"/>
          <w:color w:val="000000"/>
          <w:sz w:val="22"/>
        </w:rPr>
        <w:t> </w:t>
      </w:r>
      <w:r>
        <w:rPr>
          <w:rFonts w:ascii="Times New Roman" w:hAnsi="Times New Roman"/>
          <w:b w:val="false"/>
          <w:i/>
          <w:color w:val="000000"/>
          <w:sz w:val="22"/>
        </w:rPr>
        <w:t xml:space="preserve">Attendant care service. </w:t>
      </w:r>
      <w:r>
        <w:rPr>
          <w:rFonts w:ascii="Times New Roman" w:hAnsi="Times New Roman"/>
          <w:b w:val="false"/>
          <w:i w:val="false"/>
          <w:color w:val="000000"/>
          <w:sz w:val="22"/>
        </w:rPr>
        <w:t xml:space="preserve">Attendant care services are service activities performed pursuant to subrule </w:t>
      </w:r>
      <w:hyperlink r:id="rId5">
        <w:r>
          <w:rPr>
            <w:rStyle w:val="Hyperlink"/>
            <w:rFonts w:ascii="Times New Roman" w:hAnsi="Times New Roman"/>
            <w:b w:val="false"/>
            <w:i w:val="false"/>
            <w:color w:val="000000"/>
            <w:sz w:val="22"/>
          </w:rPr>
          <w:t>78.34(7)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78.46(2)</w:t>
      </w:r>
      <w:r>
        <w:rPr>
          <w:rFonts w:ascii="Times New Roman" w:hAnsi="Times New Roman"/>
          <w:b w:val="false"/>
          <w:i w:val="false"/>
          <w:color w:val="000000"/>
          <w:sz w:val="22"/>
        </w:rPr>
        <w:t> </w:t>
      </w:r>
      <w:r>
        <w:rPr>
          <w:rFonts w:ascii="Times New Roman" w:hAnsi="Times New Roman"/>
          <w:b w:val="false"/>
          <w:i/>
          <w:color w:val="000000"/>
          <w:sz w:val="22"/>
        </w:rPr>
        <w:t xml:space="preserve">Home and vehicle modification. </w:t>
      </w:r>
      <w:r>
        <w:rPr>
          <w:rFonts w:ascii="Times New Roman" w:hAnsi="Times New Roman"/>
          <w:b w:val="false"/>
          <w:i w:val="false"/>
          <w:color w:val="000000"/>
          <w:sz w:val="22"/>
        </w:rPr>
        <w:t xml:space="preserve">Covered home or vehicle modifications are activities provided pursuant to subrule </w:t>
      </w:r>
      <w:hyperlink r:id="rId6">
        <w:r>
          <w:rPr>
            <w:rStyle w:val="Hyperlink"/>
            <w:rFonts w:ascii="Times New Roman" w:hAnsi="Times New Roman"/>
            <w:b w:val="false"/>
            <w:i w:val="false"/>
            <w:color w:val="000000"/>
            <w:sz w:val="22"/>
          </w:rPr>
          <w:t>78.34(9)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78.46(3)</w:t>
      </w:r>
      <w:r>
        <w:rPr>
          <w:rFonts w:ascii="Times New Roman" w:hAnsi="Times New Roman"/>
          <w:b w:val="false"/>
          <w:i w:val="false"/>
          <w:color w:val="000000"/>
          <w:sz w:val="22"/>
        </w:rPr>
        <w:t> </w:t>
      </w:r>
      <w:r>
        <w:rPr>
          <w:rFonts w:ascii="Times New Roman" w:hAnsi="Times New Roman"/>
          <w:b w:val="false"/>
          <w:i/>
          <w:color w:val="000000"/>
          <w:sz w:val="22"/>
        </w:rPr>
        <w:t xml:space="preserve">Personal emergency response or portable locator system. </w:t>
      </w:r>
      <w:r>
        <w:rPr>
          <w:rFonts w:ascii="Times New Roman" w:hAnsi="Times New Roman"/>
          <w:b w:val="false"/>
          <w:i w:val="false"/>
          <w:color w:val="000000"/>
          <w:sz w:val="22"/>
        </w:rPr>
        <w:t xml:space="preserve">A personal emergency response or portable locator are services provided pursuant to subrule </w:t>
      </w:r>
      <w:hyperlink r:id="rId7">
        <w:r>
          <w:rPr>
            <w:rStyle w:val="Hyperlink"/>
            <w:rFonts w:ascii="Times New Roman" w:hAnsi="Times New Roman"/>
            <w:b w:val="false"/>
            <w:i w:val="false"/>
            <w:color w:val="000000"/>
            <w:sz w:val="22"/>
          </w:rPr>
          <w:t>78.34(10)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78.46(4)</w:t>
      </w:r>
      <w:r>
        <w:rPr>
          <w:rFonts w:ascii="Times New Roman" w:hAnsi="Times New Roman"/>
          <w:b w:val="false"/>
          <w:i w:val="false"/>
          <w:color w:val="000000"/>
          <w:sz w:val="22"/>
        </w:rPr>
        <w:t> </w:t>
      </w:r>
      <w:r>
        <w:rPr>
          <w:rFonts w:ascii="Times New Roman" w:hAnsi="Times New Roman"/>
          <w:b w:val="false"/>
          <w:i/>
          <w:color w:val="000000"/>
          <w:sz w:val="22"/>
        </w:rPr>
        <w:t xml:space="preserve">Specialized medical equipment. </w:t>
      </w:r>
      <w:r>
        <w:rPr>
          <w:rFonts w:ascii="Times New Roman" w:hAnsi="Times New Roman"/>
          <w:b w:val="false"/>
          <w:i w:val="false"/>
          <w:color w:val="000000"/>
          <w:sz w:val="22"/>
        </w:rPr>
        <w:t xml:space="preserve">Specialized medical equipment are provided pursuant to subrule </w:t>
      </w:r>
      <w:hyperlink r:id="rId8">
        <w:r>
          <w:rPr>
            <w:rStyle w:val="Hyperlink"/>
            <w:rFonts w:ascii="Times New Roman" w:hAnsi="Times New Roman"/>
            <w:b w:val="false"/>
            <w:i w:val="false"/>
            <w:color w:val="000000"/>
            <w:sz w:val="22"/>
          </w:rPr>
          <w:t>78.43(8)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78.46(5)</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Transportation services may be provided for members to conduct business errands and essential shopping, to travel to and from work or day programs, and to reduce social isolation. A unit of service is one mile of transportation or one one-way trip.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78.46(6)</w:t>
      </w:r>
      <w:r>
        <w:rPr>
          <w:rFonts w:ascii="Times New Roman" w:hAnsi="Times New Roman"/>
          <w:b w:val="false"/>
          <w:i w:val="false"/>
          <w:color w:val="000000"/>
          <w:sz w:val="22"/>
        </w:rPr>
        <w:t> </w:t>
      </w:r>
      <w:r>
        <w:rPr>
          <w:rFonts w:ascii="Times New Roman" w:hAnsi="Times New Roman"/>
          <w:b w:val="false"/>
          <w:i/>
          <w:color w:val="000000"/>
          <w:sz w:val="22"/>
        </w:rPr>
        <w:t xml:space="preserve">CCO. </w:t>
      </w:r>
      <w:r>
        <w:rPr>
          <w:rFonts w:ascii="Times New Roman" w:hAnsi="Times New Roman"/>
          <w:b w:val="false"/>
          <w:i w:val="false"/>
          <w:color w:val="000000"/>
          <w:sz w:val="22"/>
        </w:rPr>
        <w:t xml:space="preserve">The CCO is service activities provided pursuant to subrule </w:t>
      </w:r>
      <w:hyperlink r:id="rId9">
        <w:r>
          <w:rPr>
            <w:rStyle w:val="Hyperlink"/>
            <w:rFonts w:ascii="Times New Roman" w:hAnsi="Times New Roman"/>
            <w:b w:val="false"/>
            <w:i w:val="false"/>
            <w:color w:val="000000"/>
            <w:sz w:val="22"/>
          </w:rPr>
          <w:t>78.34(13)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78.46(7)</w:t>
      </w:r>
      <w:r>
        <w:rPr>
          <w:rFonts w:ascii="Times New Roman" w:hAnsi="Times New Roman"/>
          <w:b w:val="false"/>
          <w:i w:val="false"/>
          <w:color w:val="000000"/>
          <w:sz w:val="22"/>
        </w:rPr>
        <w:t> </w:t>
      </w:r>
      <w:r>
        <w:rPr>
          <w:rFonts w:ascii="Times New Roman" w:hAnsi="Times New Roman"/>
          <w:b w:val="false"/>
          <w:i/>
          <w:color w:val="000000"/>
          <w:sz w:val="22"/>
        </w:rPr>
        <w:t xml:space="preserve">General service standards. </w:t>
      </w:r>
      <w:r>
        <w:rPr>
          <w:rFonts w:ascii="Times New Roman" w:hAnsi="Times New Roman"/>
          <w:b w:val="false"/>
          <w:i w:val="false"/>
          <w:color w:val="000000"/>
          <w:sz w:val="22"/>
        </w:rPr>
        <w:t>All physical disability waiver services must be provided in accordance with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will not be available under the waiver for any services that the member can obtain as other nonwaiver Medicaid services or through any other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services provided under the waiver must be delivered in the least restrictive environment possible and in conformity with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rights restrictions must be implemented in accordance with </w:t>
      </w:r>
      <w:hyperlink r:id="rId10">
        <w:r>
          <w:rPr>
            <w:rStyle w:val="Hyperlink"/>
            <w:rFonts w:ascii="Times New Roman" w:hAnsi="Times New Roman"/>
            <w:b w:val="false"/>
            <w:i w:val="false"/>
            <w:color w:val="000000"/>
            <w:sz w:val="22"/>
          </w:rPr>
          <w:t>441—subrule 77.30(4)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must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services with a 15-minute unit of service, the rounding process outlined in paragraph </w:t>
      </w:r>
      <w:hyperlink r:id="rId11">
        <w:r>
          <w:rPr>
            <w:rStyle w:val="Hyperlink"/>
            <w:rFonts w:ascii="Times New Roman" w:hAnsi="Times New Roman"/>
            <w:b w:val="false"/>
            <w:i w:val="false"/>
            <w:color w:val="000000"/>
            <w:sz w:val="22"/>
          </w:rPr>
          <w:t>78.34(14)</w:t>
        </w:r>
      </w:hyperlink>
      <w:r>
        <w:rPr>
          <w:rFonts w:ascii="Times New Roman" w:hAnsi="Times New Roman"/>
          <w:b w:val="false"/>
          <w:i/>
          <w:color w:val="000000"/>
          <w:sz w:val="22"/>
        </w:rPr>
        <w:t>“e”</w:t>
      </w:r>
      <w:r>
        <w:rPr>
          <w:rFonts w:ascii="Times New Roman" w:hAnsi="Times New Roman"/>
          <w:b w:val="false"/>
          <w:i w:val="false"/>
          <w:color w:val="000000"/>
          <w:sz w:val="22"/>
        </w:rPr>
        <w:t xml:space="preserve"> will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83.pdf" Type="http://schemas.openxmlformats.org/officeDocument/2006/relationships/hyperlink" Id="rId4"/>
    <Relationship TargetMode="External" Target="https://www.legis.iowa.gov/docs/iac/rule/441.78.34.pdf" Type="http://schemas.openxmlformats.org/officeDocument/2006/relationships/hyperlink" Id="rId5"/>
    <Relationship TargetMode="External" Target="https://www.legis.iowa.gov/docs/iac/rule/441.78.34.pdf" Type="http://schemas.openxmlformats.org/officeDocument/2006/relationships/hyperlink" Id="rId6"/>
    <Relationship TargetMode="External" Target="https://www.legis.iowa.gov/docs/iac/rule/441.78.34.pdf" Type="http://schemas.openxmlformats.org/officeDocument/2006/relationships/hyperlink" Id="rId7"/>
    <Relationship TargetMode="External" Target="https://www.legis.iowa.gov/docs/iac/rule/441.78.43.pdf" Type="http://schemas.openxmlformats.org/officeDocument/2006/relationships/hyperlink" Id="rId8"/>
    <Relationship TargetMode="External" Target="https://www.legis.iowa.gov/docs/iac/rule/441.78.34.pdf" Type="http://schemas.openxmlformats.org/officeDocument/2006/relationships/hyperlink" Id="rId9"/>
    <Relationship TargetMode="External" Target="https://www.legis.iowa.gov/docs/iac/rule/441.77.30.pdf" Type="http://schemas.openxmlformats.org/officeDocument/2006/relationships/hyperlink" Id="rId10"/>
    <Relationship TargetMode="External" Target="https://www.legis.iowa.gov/docs/iac/rule/441.78.34.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