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r>
        <w:rPr>
          <w:rFonts w:ascii="Times New Roman" w:hAnsi="Times New Roman"/>
          <w:b/>
          <w:i w:val="false"/>
          <w:color w:val="000000"/>
          <w:sz w:val="22"/>
        </w:rPr>
        <w:t>441—78.43</w:t>
      </w:r>
      <w:r>
        <w:rPr>
          <w:rFonts w:ascii="Times New Roman" w:hAnsi="Times New Roman"/>
          <w:b/>
          <w:i w:val="false"/>
          <w:color w:val="000000"/>
          <w:sz w:val="22"/>
        </w:rPr>
        <w:t xml:space="preserve">(249A) </w:t>
      </w:r>
      <w:r>
        <w:rPr>
          <w:rFonts w:ascii="Times New Roman" w:hAnsi="Times New Roman"/>
          <w:b/>
          <w:i w:val="false"/>
          <w:color w:val="000000"/>
          <w:sz w:val="22"/>
        </w:rPr>
        <w:t xml:space="preserve">HCBS brain injury waiver services. </w:t>
      </w:r>
      <w:r>
        <w:rPr>
          <w:rFonts w:ascii="Times New Roman" w:hAnsi="Times New Roman"/>
          <w:b w:val="false"/>
          <w:i w:val="false"/>
          <w:color w:val="000000"/>
          <w:sz w:val="22"/>
        </w:rPr>
        <w:t xml:space="preserve">Payment will be approved for the following services to members eligible for the HCBS brain injury waiver services as established in </w:t>
      </w:r>
      <w:hyperlink r:id="rId4">
        <w:r>
          <w:rPr>
            <w:rStyle w:val="Hyperlink"/>
            <w:rFonts w:ascii="Times New Roman" w:hAnsi="Times New Roman"/>
            <w:b w:val="false"/>
            <w:i w:val="false"/>
            <w:color w:val="000000"/>
            <w:sz w:val="22"/>
          </w:rPr>
          <w:t>441—Chapter 83</w:t>
        </w:r>
      </w:hyperlink>
      <w:r>
        <w:rPr>
          <w:rFonts w:ascii="Times New Roman" w:hAnsi="Times New Roman"/>
          <w:b w:val="false"/>
          <w:i w:val="false"/>
          <w:color w:val="000000"/>
          <w:sz w:val="22"/>
        </w:rPr>
        <w:t xml:space="preserve"> and as identified in the member’s service plan. Payment will only be made for services provided in integrated, community-based settings that support full access of members receiving Medicaid HCBS to the greater community, including opportunities to seek employment and work in competitive integrated settings, engage in community life, control personal resources, and receive services in the community, to the same degree of access as individuals not receiving Medicaid HCBS.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78.43(1)</w:t>
      </w:r>
      <w:r>
        <w:rPr>
          <w:rFonts w:ascii="Times New Roman" w:hAnsi="Times New Roman"/>
          <w:b w:val="false"/>
          <w:i w:val="false"/>
          <w:color w:val="000000"/>
          <w:sz w:val="22"/>
        </w:rPr>
        <w:t> </w:t>
      </w:r>
      <w:r>
        <w:rPr>
          <w:rFonts w:ascii="Times New Roman" w:hAnsi="Times New Roman"/>
          <w:b w:val="false"/>
          <w:i/>
          <w:color w:val="000000"/>
          <w:sz w:val="22"/>
        </w:rPr>
        <w:t xml:space="preserve">Case management services. </w:t>
      </w:r>
      <w:r>
        <w:rPr>
          <w:rFonts w:ascii="Times New Roman" w:hAnsi="Times New Roman"/>
          <w:b w:val="false"/>
          <w:i w:val="false"/>
          <w:color w:val="000000"/>
          <w:sz w:val="22"/>
        </w:rPr>
        <w:t>Individual case management services means services that assist members who reside in a community setting or are transitioning to a community setting in gaining access to needed medical, social, educational, housing, transportation, vocational, and other appropriate services in order to ensure the health, safety, and welfare of the member.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Case management services shall be provided as set forth in rules </w:t>
      </w:r>
      <w:hyperlink r:id="rId5">
        <w:r>
          <w:rPr>
            <w:rStyle w:val="Hyperlink"/>
            <w:rFonts w:ascii="Times New Roman" w:hAnsi="Times New Roman"/>
            <w:b w:val="false"/>
            <w:i w:val="false"/>
            <w:color w:val="000000"/>
            <w:sz w:val="22"/>
          </w:rPr>
          <w:t>441—90.4</w:t>
        </w:r>
      </w:hyperlink>
      <w:r>
        <w:rPr>
          <w:rFonts w:ascii="Times New Roman" w:hAnsi="Times New Roman"/>
          <w:b w:val="false"/>
          <w:i w:val="false"/>
          <w:color w:val="000000"/>
          <w:sz w:val="22"/>
        </w:rPr>
        <w:t xml:space="preserve">(249A) through </w:t>
      </w:r>
      <w:hyperlink r:id="rId6">
        <w:r>
          <w:rPr>
            <w:rStyle w:val="Hyperlink"/>
            <w:rFonts w:ascii="Times New Roman" w:hAnsi="Times New Roman"/>
            <w:b w:val="false"/>
            <w:i w:val="false"/>
            <w:color w:val="000000"/>
            <w:sz w:val="22"/>
          </w:rPr>
          <w:t>441—90.7</w:t>
        </w:r>
      </w:hyperlink>
      <w:r>
        <w:rPr>
          <w:rFonts w:ascii="Times New Roman" w:hAnsi="Times New Roman"/>
          <w:b w:val="false"/>
          <w:i w:val="false"/>
          <w:color w:val="000000"/>
          <w:sz w:val="22"/>
        </w:rPr>
        <w:t>(249A).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service shall be delivered in such a way as to enhance the capabilities of members and their families to exercise their rights and responsibilities as citizens in the community. The goal is to enhance the ability of the member to exercise choice, make decisions, take risks that are a typical part of life, and fully participate as members of the community.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case manager must develop a relationship with the member so that the abilities, needs and desires of the member can be clearly identified and communicated and the case manager can help to ensure that the system and specific services are responsive to the needs of the individual members.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Members who are eligible for targeted case management are not eligible for case management as a waiver service.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78.43(2)</w:t>
      </w:r>
      <w:r>
        <w:rPr>
          <w:rFonts w:ascii="Times New Roman" w:hAnsi="Times New Roman"/>
          <w:b w:val="false"/>
          <w:i w:val="false"/>
          <w:color w:val="000000"/>
          <w:sz w:val="22"/>
        </w:rPr>
        <w:t> </w:t>
      </w:r>
      <w:r>
        <w:rPr>
          <w:rFonts w:ascii="Times New Roman" w:hAnsi="Times New Roman"/>
          <w:b w:val="false"/>
          <w:i/>
          <w:color w:val="000000"/>
          <w:sz w:val="22"/>
        </w:rPr>
        <w:t xml:space="preserve">Supported community living services. </w:t>
      </w:r>
      <w:r>
        <w:rPr>
          <w:rFonts w:ascii="Times New Roman" w:hAnsi="Times New Roman"/>
          <w:b w:val="false"/>
          <w:i w:val="false"/>
          <w:color w:val="000000"/>
          <w:sz w:val="22"/>
        </w:rPr>
        <w:t>Supported community living services are provided by the provider within the member’s home and community according to the individualized member need as identified in the service plan.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basic components of the service may include but are not limited to personal and home skills training services, individual advocacy services, community skills training services, personal environment support services, transportation, and treatment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Personal and home skills training services are activities that assist a member to develop or  maintain skills for self-care, self-directedness, and care of the immediate environment.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Individual advocacy is the act or process of representing the member’s rights and interests in order to realize the rights to which the member is entitled and to remove barriers to meeting the member’s needs.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Community skills training services are activities that assist a member to develop or maintain skills allowing better participation in the community. Services shall focus on the following areas as they apply to the member being served: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Personal management skills training services are activities that assist a member to maintain or develop skills necessary to sustain the member in the physical environment and that are essential to the  management of the member’s personal business and property. This includes self-advocacy skills. Examples of personal management skills are the ability to maintain a household budget, plan and prepare nutritional meals, use community resources such as public transportation and libraries, and select foods at the grocery store.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Socialization skills training services are activities that assist a member to develop or maintain skills that include self-awareness and self-control, social responsiveness, community participation, social  amenities, and interpersonal skills.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Communication skills training services are activities that assist a member to develop or maintain skills, including expressive and receptive skills in verbal and nonverbal language and the functional application of acquired reading and writing skills.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Personal and environmental support services are those activities and expenditures provided to or on behalf of a member in the areas of personal needs in order to allow the member to function in the least restrictive environment.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 xml:space="preserve">Transportation services are activities and expenditures designed to assist the member to travel from one place to another to obtain services or carry out life’s activities. The services exclude transportation provided as nonemergency medical transportation pursuant to rule </w:t>
      </w:r>
      <w:hyperlink r:id="rId7">
        <w:r>
          <w:rPr>
            <w:rStyle w:val="Hyperlink"/>
            <w:rFonts w:ascii="Times New Roman" w:hAnsi="Times New Roman"/>
            <w:b w:val="false"/>
            <w:i w:val="false"/>
            <w:color w:val="000000"/>
            <w:sz w:val="22"/>
          </w:rPr>
          <w:t>441—78.13</w:t>
        </w:r>
      </w:hyperlink>
      <w:r>
        <w:rPr>
          <w:rFonts w:ascii="Times New Roman" w:hAnsi="Times New Roman"/>
          <w:b w:val="false"/>
          <w:i w:val="false"/>
          <w:color w:val="000000"/>
          <w:sz w:val="22"/>
        </w:rPr>
        <w:t>(249A).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Treatment services are activities designed to assist the member to maintain or improve physiological, emotional and behavioral functioning and to prevent conditions that would present barriers to the member’s functioning. Treatment services include physical or physiological treatment and psychotherapeutic treatment.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Physiological treatment includes medication regimens designed to prevent, halt, control, relieve, or reverse symptoms or conditions which interfere with the normal functioning of the human body. Physiological treatment shall be provided by or under the direct supervision of a certified or licensed health care professional.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Psychotherapeutic treatment means activities provided to assist a member in the identification or modification of beliefs, emotions, attitudes, or behaviors in order to maintain or improve the member’s functioning in response to the physical, emotional, and social environment.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supported community living services are intended to provide for the daily living needs of the member and shall be available as needed during any 24-hour period. Activities do not include those associated with vocational services, academics, day care, medical services, Medicaid case management or other case management. Services are individualized supportive services provided in a variety of community-based, integrated settings.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Supported community living services shall be available at a daily rate to members living outside the home of their family, legal representative, or foster family and for whom a provider has primary responsibility for supervision or structure during the month. This service shall provide supervision or structure in identified periods when another resource is not available.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Supported community living services shall be available at a 15-minute rate to members for whom a daily rate is not established.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Services may be provided to a child or an adult. Children must first access all other services for which they are eligible and that are appropriate to meet their needs before accessing the HCBS brain injury waiver services. A maximum of four persons may reside in a living unit.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 member may live in the home of the member’s family or legal representative or in another typical community living arrangement.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 member living with the member’s family or legal representative is not subject to the maximum of four residents in a living unit.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 member may not live in a licensed medical or health care facility or in a setting that is required to be licensed as a medical or health care facility.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 member aged 17 or under living in the home of the member’s family, legal representative, or foster family shall receive services based on development of adaptive, behavior, or health skills. Duration of services shall be based on age-appropriateness and individual attention span.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Provider budgets shall reflect all staff-to-member ratios and shall reflect costs associated with members’ specific support needs for travel and transportation, consulting, instruction, and environmental modifications and repairs, as determined necessary by the interdisciplinary team for each member. The specific support needs must be identified in the Medicaid case manager’s service plan, the total costs shall not exceed $1,570 per member per year, and the provider must maintain records to support the expenditures. A unit of service is: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One full calendar day when a member residing in the living unit receives on-site staff supervision for eight or more hours per day as an average over a calendar month and the member’s service plan identifies and reflects the need for this amount of supervision.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Fifteen minutes when subparagraph </w:t>
      </w:r>
      <w:hyperlink r:id="rId8">
        <w:r>
          <w:rPr>
            <w:rStyle w:val="Hyperlink"/>
            <w:rFonts w:ascii="Times New Roman" w:hAnsi="Times New Roman"/>
            <w:b w:val="false"/>
            <w:i w:val="false"/>
            <w:color w:val="000000"/>
            <w:sz w:val="22"/>
          </w:rPr>
          <w:t>78.43(2)</w:t>
        </w:r>
      </w:hyperlink>
      <w:r>
        <w:rPr>
          <w:rFonts w:ascii="Times New Roman" w:hAnsi="Times New Roman"/>
          <w:b w:val="false"/>
          <w:i/>
          <w:color w:val="000000"/>
          <w:sz w:val="22"/>
        </w:rPr>
        <w:t>“e”</w:t>
      </w:r>
      <w:r>
        <w:rPr>
          <w:rFonts w:ascii="Times New Roman" w:hAnsi="Times New Roman"/>
          <w:b w:val="false"/>
          <w:i w:val="false"/>
          <w:color w:val="000000"/>
          <w:sz w:val="22"/>
        </w:rPr>
        <w:t>(1) does not apply.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The maximum number of units available per member is as follows: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365 daily units per state fiscal year except a leap year, when 366 daily units are available.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33,580 15-minute units per state fiscal year except a leap year, when 33,672 15-minute units are available.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The service shall be identified in the member’s service plan.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Supported community living services shall not be simultaneously reimbursed with other residential services or with respite, transportation, personal assistance, nursing, or home health aide services provided  through Medicaid or the HCBS brain injury waiver.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78.43(3)</w:t>
      </w:r>
      <w:r>
        <w:rPr>
          <w:rFonts w:ascii="Times New Roman" w:hAnsi="Times New Roman"/>
          <w:b w:val="false"/>
          <w:i w:val="false"/>
          <w:color w:val="000000"/>
          <w:sz w:val="22"/>
        </w:rPr>
        <w:t> </w:t>
      </w:r>
      <w:r>
        <w:rPr>
          <w:rFonts w:ascii="Times New Roman" w:hAnsi="Times New Roman"/>
          <w:b w:val="false"/>
          <w:i/>
          <w:color w:val="000000"/>
          <w:sz w:val="22"/>
        </w:rPr>
        <w:t xml:space="preserve">Respite care services. </w:t>
      </w:r>
      <w:r>
        <w:rPr>
          <w:rFonts w:ascii="Times New Roman" w:hAnsi="Times New Roman"/>
          <w:b w:val="false"/>
          <w:i w:val="false"/>
          <w:color w:val="000000"/>
          <w:sz w:val="22"/>
        </w:rPr>
        <w:t>Respite care services are services provided to the member that give temporary relief to the usual caregiver and provide all the necessary care that the usual caregiver would provide during that period. The purpose of respite care is to enable the member to remain in the member’s current living situation.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Services provided outside the member’s home shall not be reimbursable if the living unit where respite is provided is reserved for another person on a temporary leave of absence.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Member-to-staff ratios shall be appropriate to the individual needs of the member as determined by the member’s interdisciplinary team.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 unit of service is 15 minutes.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Respite care is not to be provided to members during the hours in which the usual caregiver is employed except when the member is attending a 24-hour residential camp. Respite care shall not be used as a substitute for a child’s day care. Respite care cannot be provided to a member whose usual caregiver is an attendant care provider for the member.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 xml:space="preserve">The interdisciplinary team shall determine if the member will receive basic individual respite, specialized respite or group respite as defined in </w:t>
      </w:r>
      <w:hyperlink r:id="rId9">
        <w:r>
          <w:rPr>
            <w:rStyle w:val="Hyperlink"/>
            <w:rFonts w:ascii="Times New Roman" w:hAnsi="Times New Roman"/>
            <w:b w:val="false"/>
            <w:i w:val="false"/>
            <w:color w:val="000000"/>
            <w:sz w:val="22"/>
          </w:rPr>
          <w:t>441—Chapter 83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A maximum of 14 consecutive days of 24-hour respite care may be reimbursed.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 xml:space="preserve">Respite services provided for a period exceeding 24 consecutive hours to three or more individuals who require nursing care because of a mental or physical condition must be provided by a health care facility licensed as described in Iowa Code chapter </w:t>
      </w:r>
      <w:hyperlink r:id="rId10">
        <w:r>
          <w:rPr>
            <w:rStyle w:val="Hyperlink"/>
            <w:rFonts w:ascii="Times New Roman" w:hAnsi="Times New Roman"/>
            <w:b w:val="false"/>
            <w:i w:val="false"/>
            <w:color w:val="000000"/>
            <w:sz w:val="22"/>
          </w:rPr>
          <w:t>135C</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Respite services shall not be provided simultaneously with other residential, supported community living services, nursing, or home health aide services provided through the medical assistance program.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78.43(4)</w:t>
      </w:r>
      <w:r>
        <w:rPr>
          <w:rFonts w:ascii="Times New Roman" w:hAnsi="Times New Roman"/>
          <w:b w:val="false"/>
          <w:i w:val="false"/>
          <w:color w:val="000000"/>
          <w:sz w:val="22"/>
        </w:rPr>
        <w:t> </w:t>
      </w:r>
      <w:r>
        <w:rPr>
          <w:rFonts w:ascii="Times New Roman" w:hAnsi="Times New Roman"/>
          <w:b w:val="false"/>
          <w:i/>
          <w:color w:val="000000"/>
          <w:sz w:val="22"/>
        </w:rPr>
        <w:t xml:space="preserve">Supported employment services. </w:t>
      </w:r>
      <w:r>
        <w:rPr>
          <w:rFonts w:ascii="Times New Roman" w:hAnsi="Times New Roman"/>
          <w:b w:val="false"/>
          <w:i w:val="false"/>
          <w:color w:val="000000"/>
          <w:sz w:val="22"/>
        </w:rPr>
        <w:t xml:space="preserve">Supported employment services are service activities provided pursuant to subrule </w:t>
      </w:r>
      <w:hyperlink r:id="rId11">
        <w:r>
          <w:rPr>
            <w:rStyle w:val="Hyperlink"/>
            <w:rFonts w:ascii="Times New Roman" w:hAnsi="Times New Roman"/>
            <w:b w:val="false"/>
            <w:i w:val="false"/>
            <w:color w:val="000000"/>
            <w:sz w:val="22"/>
          </w:rPr>
          <w:t>78.27(10)</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78.43(5)</w:t>
      </w:r>
      <w:r>
        <w:rPr>
          <w:rFonts w:ascii="Times New Roman" w:hAnsi="Times New Roman"/>
          <w:b w:val="false"/>
          <w:i w:val="false"/>
          <w:color w:val="000000"/>
          <w:sz w:val="22"/>
        </w:rPr>
        <w:t> </w:t>
      </w:r>
      <w:r>
        <w:rPr>
          <w:rFonts w:ascii="Times New Roman" w:hAnsi="Times New Roman"/>
          <w:b w:val="false"/>
          <w:i/>
          <w:color w:val="000000"/>
          <w:sz w:val="22"/>
        </w:rPr>
        <w:t xml:space="preserve">Home and vehicle modification. </w:t>
      </w:r>
      <w:r>
        <w:rPr>
          <w:rFonts w:ascii="Times New Roman" w:hAnsi="Times New Roman"/>
          <w:b w:val="false"/>
          <w:i w:val="false"/>
          <w:color w:val="000000"/>
          <w:sz w:val="22"/>
        </w:rPr>
        <w:t xml:space="preserve">Covered home or vehicle modifications are activities provided pursuant to subrule </w:t>
      </w:r>
      <w:hyperlink r:id="rId12">
        <w:r>
          <w:rPr>
            <w:rStyle w:val="Hyperlink"/>
            <w:rFonts w:ascii="Times New Roman" w:hAnsi="Times New Roman"/>
            <w:b w:val="false"/>
            <w:i w:val="false"/>
            <w:color w:val="000000"/>
            <w:sz w:val="22"/>
          </w:rPr>
          <w:t>78.34(9)</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78.43(6)</w:t>
      </w:r>
      <w:r>
        <w:rPr>
          <w:rFonts w:ascii="Times New Roman" w:hAnsi="Times New Roman"/>
          <w:b w:val="false"/>
          <w:i w:val="false"/>
          <w:color w:val="000000"/>
          <w:sz w:val="22"/>
        </w:rPr>
        <w:t> </w:t>
      </w:r>
      <w:r>
        <w:rPr>
          <w:rFonts w:ascii="Times New Roman" w:hAnsi="Times New Roman"/>
          <w:b w:val="false"/>
          <w:i/>
          <w:color w:val="000000"/>
          <w:sz w:val="22"/>
        </w:rPr>
        <w:t xml:space="preserve">Personal emergency response or portable locator system. </w:t>
      </w:r>
      <w:r>
        <w:rPr>
          <w:rFonts w:ascii="Times New Roman" w:hAnsi="Times New Roman"/>
          <w:b w:val="false"/>
          <w:i w:val="false"/>
          <w:color w:val="000000"/>
          <w:sz w:val="22"/>
        </w:rPr>
        <w:t xml:space="preserve">A personal emergency response or portable locator system are services provided pursuant to subrule </w:t>
      </w:r>
      <w:hyperlink r:id="rId13">
        <w:r>
          <w:rPr>
            <w:rStyle w:val="Hyperlink"/>
            <w:rFonts w:ascii="Times New Roman" w:hAnsi="Times New Roman"/>
            <w:b w:val="false"/>
            <w:i w:val="false"/>
            <w:color w:val="000000"/>
            <w:sz w:val="22"/>
          </w:rPr>
          <w:t>78.34(10)</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78.43(7)</w:t>
      </w:r>
      <w:r>
        <w:rPr>
          <w:rFonts w:ascii="Times New Roman" w:hAnsi="Times New Roman"/>
          <w:b w:val="false"/>
          <w:i w:val="false"/>
          <w:color w:val="000000"/>
          <w:sz w:val="22"/>
        </w:rPr>
        <w:t> </w:t>
      </w:r>
      <w:r>
        <w:rPr>
          <w:rFonts w:ascii="Times New Roman" w:hAnsi="Times New Roman"/>
          <w:b w:val="false"/>
          <w:i/>
          <w:color w:val="000000"/>
          <w:sz w:val="22"/>
        </w:rPr>
        <w:t xml:space="preserve">Transportation. </w:t>
      </w:r>
      <w:r>
        <w:rPr>
          <w:rFonts w:ascii="Times New Roman" w:hAnsi="Times New Roman"/>
          <w:b w:val="false"/>
          <w:i w:val="false"/>
          <w:color w:val="000000"/>
          <w:sz w:val="22"/>
        </w:rPr>
        <w:t>Transportation services may be provided for members to conduct business errands and essential shopping, to travel to and from work or day programs, and to reduce social isolation. A unit of service is one mile of transportation or one one-way trip. Transportation may not be reimbursed simultaneously with HCBS brain injury waiver supported community living service when the transportation costs are included within the supported community living reimbursement rate.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78.43(8)</w:t>
      </w:r>
      <w:r>
        <w:rPr>
          <w:rFonts w:ascii="Times New Roman" w:hAnsi="Times New Roman"/>
          <w:b w:val="false"/>
          <w:i w:val="false"/>
          <w:color w:val="000000"/>
          <w:sz w:val="22"/>
        </w:rPr>
        <w:t> </w:t>
      </w:r>
      <w:r>
        <w:rPr>
          <w:rFonts w:ascii="Times New Roman" w:hAnsi="Times New Roman"/>
          <w:b w:val="false"/>
          <w:i/>
          <w:color w:val="000000"/>
          <w:sz w:val="22"/>
        </w:rPr>
        <w:t xml:space="preserve">Specialized medical equipment.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Specialized medical equipment includes medically necessary items that are for personal use by members with a brain injury and that: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Provide for health and safety of the member,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Are not ordinarily covered by Medicaid,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Are not funded by educational or vocational rehabilitation programs,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Are not provided by voluntary means.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Coverage includes but is not limited to:</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Electronic aids and organizers.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Medicine dispensing devices.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Communication devices.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Bath aids.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Noncovered environmental control units.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Repair and maintenance of items purchased through the waiver.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Payment may be made to enrolled specialized medical equipment providers upon satisfactory receipt of the service not to exceed the service limitations published on the Iowa Medicaid fee schedule webpage.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need for specialized medical equipment shall be: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Documented by a health care professional as necessary for the member’s health and safety,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Identified in the member’s service plan.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 xml:space="preserve">Payment for most items will be based on a fee schedule. The amount of the fee will be determined as directed in </w:t>
      </w:r>
      <w:hyperlink r:id="rId14">
        <w:r>
          <w:rPr>
            <w:rStyle w:val="Hyperlink"/>
            <w:rFonts w:ascii="Times New Roman" w:hAnsi="Times New Roman"/>
            <w:b w:val="false"/>
            <w:i w:val="false"/>
            <w:color w:val="000000"/>
            <w:sz w:val="22"/>
          </w:rPr>
          <w:t>441—subrule 79.1(17)</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78.43(9)</w:t>
      </w:r>
      <w:r>
        <w:rPr>
          <w:rFonts w:ascii="Times New Roman" w:hAnsi="Times New Roman"/>
          <w:b w:val="false"/>
          <w:i w:val="false"/>
          <w:color w:val="000000"/>
          <w:sz w:val="22"/>
        </w:rPr>
        <w:t> </w:t>
      </w:r>
      <w:r>
        <w:rPr>
          <w:rFonts w:ascii="Times New Roman" w:hAnsi="Times New Roman"/>
          <w:b w:val="false"/>
          <w:i/>
          <w:color w:val="000000"/>
          <w:sz w:val="22"/>
        </w:rPr>
        <w:t xml:space="preserve">Adult day care services. </w:t>
      </w:r>
      <w:r>
        <w:rPr>
          <w:rFonts w:ascii="Times New Roman" w:hAnsi="Times New Roman"/>
          <w:b w:val="false"/>
          <w:i w:val="false"/>
          <w:color w:val="000000"/>
          <w:sz w:val="22"/>
        </w:rPr>
        <w:t xml:space="preserve">Adult day care services are activities provided pursuant to subrule </w:t>
      </w:r>
      <w:hyperlink r:id="rId15">
        <w:r>
          <w:rPr>
            <w:rStyle w:val="Hyperlink"/>
            <w:rFonts w:ascii="Times New Roman" w:hAnsi="Times New Roman"/>
            <w:b w:val="false"/>
            <w:i w:val="false"/>
            <w:color w:val="000000"/>
            <w:sz w:val="22"/>
          </w:rPr>
          <w:t>78.34(3)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78.43(10)</w:t>
      </w:r>
      <w:r>
        <w:rPr>
          <w:rFonts w:ascii="Times New Roman" w:hAnsi="Times New Roman"/>
          <w:b w:val="false"/>
          <w:i w:val="false"/>
          <w:color w:val="000000"/>
          <w:sz w:val="22"/>
        </w:rPr>
        <w:t> </w:t>
      </w:r>
      <w:r>
        <w:rPr>
          <w:rFonts w:ascii="Times New Roman" w:hAnsi="Times New Roman"/>
          <w:b w:val="false"/>
          <w:i/>
          <w:color w:val="000000"/>
          <w:sz w:val="22"/>
        </w:rPr>
        <w:t xml:space="preserve">Family counseling and training services. </w:t>
      </w:r>
      <w:r>
        <w:rPr>
          <w:rFonts w:ascii="Times New Roman" w:hAnsi="Times New Roman"/>
          <w:b w:val="false"/>
          <w:i w:val="false"/>
          <w:color w:val="000000"/>
          <w:sz w:val="22"/>
        </w:rPr>
        <w:t>Family counseling and training services are face-to-face mental health services provided to the member and the family with whom the member lives, or who routinely provide care to the member to increase the member’s or family members’ capabilities to maintain and care for the member in the community. Counseling may include helping the member or the member’s family members with crisis, coping strategies, stress reduction, management of depression, alleviation of psychosocial isolation and support in coping with the effects of a brain injury. It may include the use of treatment regimens as specified in the individual treatment plan. Periodic training updates may be necessary to safely maintain the member in the community.</w:t>
      </w:r>
    </w:p>
    <w:p>
      <w:pPr>
        <w:spacing w:before="0" w:after="0"/>
        <w:ind w:left="120"/>
        <w:jc w:val="both"/>
      </w:pPr>
      <w:r>
        <w:rPr>
          <w:rFonts w:ascii="Times New Roman" w:hAnsi="Times New Roman"/>
          <w:b w:val="false"/>
          <w:i w:val="false"/>
          <w:color w:val="000000"/>
          <w:sz w:val="22"/>
        </w:rPr>
        <w:t>Family may include spouse, children, friends, or in-laws of the member. Family does not include individuals who are employed to care for the member.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78.43(11)</w:t>
      </w:r>
      <w:r>
        <w:rPr>
          <w:rFonts w:ascii="Times New Roman" w:hAnsi="Times New Roman"/>
          <w:b w:val="false"/>
          <w:i w:val="false"/>
          <w:color w:val="000000"/>
          <w:sz w:val="22"/>
        </w:rPr>
        <w:t> </w:t>
      </w:r>
      <w:r>
        <w:rPr>
          <w:rFonts w:ascii="Times New Roman" w:hAnsi="Times New Roman"/>
          <w:b w:val="false"/>
          <w:i/>
          <w:color w:val="000000"/>
          <w:sz w:val="22"/>
        </w:rPr>
        <w:t xml:space="preserve">Prevocational services. </w:t>
      </w:r>
      <w:r>
        <w:rPr>
          <w:rFonts w:ascii="Times New Roman" w:hAnsi="Times New Roman"/>
          <w:b w:val="false"/>
          <w:i w:val="false"/>
          <w:color w:val="000000"/>
          <w:sz w:val="22"/>
        </w:rPr>
        <w:t xml:space="preserve">Prevocational services are service activities provided pursuant to subrule </w:t>
      </w:r>
      <w:hyperlink r:id="rId16">
        <w:r>
          <w:rPr>
            <w:rStyle w:val="Hyperlink"/>
            <w:rFonts w:ascii="Times New Roman" w:hAnsi="Times New Roman"/>
            <w:b w:val="false"/>
            <w:i w:val="false"/>
            <w:color w:val="000000"/>
            <w:sz w:val="22"/>
          </w:rPr>
          <w:t>78.27(9)</w:t>
        </w:r>
      </w:hyperlink>
      <w:r>
        <w:rPr>
          <w:rFonts w:ascii="Times New Roman" w:hAnsi="Times New Roman"/>
          <w:b w:val="false"/>
          <w:i w:val="false"/>
          <w:color w:val="000000"/>
          <w:sz w:val="22"/>
        </w:rPr>
        <w:t xml:space="preserv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78.43(12)</w:t>
      </w:r>
      <w:r>
        <w:rPr>
          <w:rFonts w:ascii="Times New Roman" w:hAnsi="Times New Roman"/>
          <w:b w:val="false"/>
          <w:i w:val="false"/>
          <w:color w:val="000000"/>
          <w:sz w:val="22"/>
        </w:rPr>
        <w:t> </w:t>
      </w:r>
      <w:r>
        <w:rPr>
          <w:rFonts w:ascii="Times New Roman" w:hAnsi="Times New Roman"/>
          <w:b w:val="false"/>
          <w:i/>
          <w:color w:val="000000"/>
          <w:sz w:val="22"/>
        </w:rPr>
        <w:t xml:space="preserve">Behavioral programming. </w:t>
      </w:r>
      <w:r>
        <w:rPr>
          <w:rFonts w:ascii="Times New Roman" w:hAnsi="Times New Roman"/>
          <w:b w:val="false"/>
          <w:i w:val="false"/>
          <w:color w:val="000000"/>
          <w:sz w:val="22"/>
        </w:rPr>
        <w:t>Behavioral programming consists of individually designed strategies to increase the member’s appropriate behaviors and decrease the member’s maladaptive behaviors which have interfered with the member’s ability to remain in the community. Behavioral programming includes: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complete assessment of both appropriate and maladaptive behaviors.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Development of a structured behavioral intervention plan which should be identified in the individual treatment plan.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78.43(13)</w:t>
      </w:r>
      <w:r>
        <w:rPr>
          <w:rFonts w:ascii="Times New Roman" w:hAnsi="Times New Roman"/>
          <w:b w:val="false"/>
          <w:i w:val="false"/>
          <w:color w:val="000000"/>
          <w:sz w:val="22"/>
        </w:rPr>
        <w:t> </w:t>
      </w:r>
      <w:r>
        <w:rPr>
          <w:rFonts w:ascii="Times New Roman" w:hAnsi="Times New Roman"/>
          <w:b w:val="false"/>
          <w:i/>
          <w:color w:val="000000"/>
          <w:sz w:val="22"/>
        </w:rPr>
        <w:t xml:space="preserve">Attendant care service. </w:t>
      </w:r>
      <w:r>
        <w:rPr>
          <w:rFonts w:ascii="Times New Roman" w:hAnsi="Times New Roman"/>
          <w:b w:val="false"/>
          <w:i w:val="false"/>
          <w:color w:val="000000"/>
          <w:sz w:val="22"/>
        </w:rPr>
        <w:t xml:space="preserve">Attendant care services are service activities performed pursuant to subrule </w:t>
      </w:r>
      <w:hyperlink r:id="rId17">
        <w:r>
          <w:rPr>
            <w:rStyle w:val="Hyperlink"/>
            <w:rFonts w:ascii="Times New Roman" w:hAnsi="Times New Roman"/>
            <w:b w:val="false"/>
            <w:i w:val="false"/>
            <w:color w:val="000000"/>
            <w:sz w:val="22"/>
          </w:rPr>
          <w:t>78.34(7)</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78.43(14)</w:t>
      </w:r>
      <w:r>
        <w:rPr>
          <w:rFonts w:ascii="Times New Roman" w:hAnsi="Times New Roman"/>
          <w:b w:val="false"/>
          <w:i w:val="false"/>
          <w:color w:val="000000"/>
          <w:sz w:val="22"/>
        </w:rPr>
        <w:t> </w:t>
      </w:r>
      <w:r>
        <w:rPr>
          <w:rFonts w:ascii="Times New Roman" w:hAnsi="Times New Roman"/>
          <w:b w:val="false"/>
          <w:i/>
          <w:color w:val="000000"/>
          <w:sz w:val="22"/>
        </w:rPr>
        <w:t xml:space="preserve">IMMT services. </w:t>
      </w:r>
      <w:r>
        <w:rPr>
          <w:rFonts w:ascii="Times New Roman" w:hAnsi="Times New Roman"/>
          <w:b w:val="false"/>
          <w:i w:val="false"/>
          <w:color w:val="000000"/>
          <w:sz w:val="22"/>
        </w:rPr>
        <w:t xml:space="preserve">IMMT services are activities performed pursuant to subrule </w:t>
      </w:r>
      <w:hyperlink r:id="rId18">
        <w:r>
          <w:rPr>
            <w:rStyle w:val="Hyperlink"/>
            <w:rFonts w:ascii="Times New Roman" w:hAnsi="Times New Roman"/>
            <w:b w:val="false"/>
            <w:i w:val="false"/>
            <w:color w:val="000000"/>
            <w:sz w:val="22"/>
          </w:rPr>
          <w:t>78.34(8)</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78.43(15)</w:t>
      </w:r>
      <w:r>
        <w:rPr>
          <w:rFonts w:ascii="Times New Roman" w:hAnsi="Times New Roman"/>
          <w:b w:val="false"/>
          <w:i w:val="false"/>
          <w:color w:val="000000"/>
          <w:sz w:val="22"/>
        </w:rPr>
        <w:t> </w:t>
      </w:r>
      <w:r>
        <w:rPr>
          <w:rFonts w:ascii="Times New Roman" w:hAnsi="Times New Roman"/>
          <w:b w:val="false"/>
          <w:i/>
          <w:color w:val="000000"/>
          <w:sz w:val="22"/>
        </w:rPr>
        <w:t xml:space="preserve">CCO. </w:t>
      </w:r>
      <w:r>
        <w:rPr>
          <w:rFonts w:ascii="Times New Roman" w:hAnsi="Times New Roman"/>
          <w:b w:val="false"/>
          <w:i w:val="false"/>
          <w:color w:val="000000"/>
          <w:sz w:val="22"/>
        </w:rPr>
        <w:t xml:space="preserve">The CCO is service activities provided pursuant to subrule </w:t>
      </w:r>
      <w:hyperlink r:id="rId19">
        <w:r>
          <w:rPr>
            <w:rStyle w:val="Hyperlink"/>
            <w:rFonts w:ascii="Times New Roman" w:hAnsi="Times New Roman"/>
            <w:b w:val="false"/>
            <w:i w:val="false"/>
            <w:color w:val="000000"/>
            <w:sz w:val="22"/>
          </w:rPr>
          <w:t>78.34(13)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78.43(16)</w:t>
      </w:r>
      <w:r>
        <w:rPr>
          <w:rFonts w:ascii="Times New Roman" w:hAnsi="Times New Roman"/>
          <w:b w:val="false"/>
          <w:i w:val="false"/>
          <w:color w:val="000000"/>
          <w:sz w:val="22"/>
        </w:rPr>
        <w:t> </w:t>
      </w:r>
      <w:r>
        <w:rPr>
          <w:rFonts w:ascii="Times New Roman" w:hAnsi="Times New Roman"/>
          <w:b w:val="false"/>
          <w:i/>
          <w:color w:val="000000"/>
          <w:sz w:val="22"/>
        </w:rPr>
        <w:t xml:space="preserve">General service standards. </w:t>
      </w:r>
      <w:r>
        <w:rPr>
          <w:rFonts w:ascii="Times New Roman" w:hAnsi="Times New Roman"/>
          <w:b w:val="false"/>
          <w:i w:val="false"/>
          <w:color w:val="000000"/>
          <w:sz w:val="22"/>
        </w:rPr>
        <w:t>All brain injury waiver services must be provided in accordance with the following standards: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Reimbursement will not be available under the waiver for any services that the member can obtain as other nonwaiver Medicaid services or through any other funding source.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All services provided under the waiver must be delivered in the least restrictive environment possible and in conformity with the member’s service plan.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All rights restrictions must be implemented in accordance with </w:t>
      </w:r>
      <w:hyperlink r:id="rId20">
        <w:r>
          <w:rPr>
            <w:rStyle w:val="Hyperlink"/>
            <w:rFonts w:ascii="Times New Roman" w:hAnsi="Times New Roman"/>
            <w:b w:val="false"/>
            <w:i w:val="false"/>
            <w:color w:val="000000"/>
            <w:sz w:val="22"/>
          </w:rPr>
          <w:t>441—subrule 77.30(4)</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Services must be billed in whole units.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 xml:space="preserve">For all services with a 15-minute unit of service, the rounding process outlined in paragraph </w:t>
      </w:r>
      <w:hyperlink r:id="rId21">
        <w:r>
          <w:rPr>
            <w:rStyle w:val="Hyperlink"/>
            <w:rFonts w:ascii="Times New Roman" w:hAnsi="Times New Roman"/>
            <w:b w:val="false"/>
            <w:i w:val="false"/>
            <w:color w:val="000000"/>
            <w:sz w:val="22"/>
          </w:rPr>
          <w:t>78.34(14)</w:t>
        </w:r>
      </w:hyperlink>
      <w:r>
        <w:rPr>
          <w:rFonts w:ascii="Times New Roman" w:hAnsi="Times New Roman"/>
          <w:b w:val="false"/>
          <w:i/>
          <w:color w:val="000000"/>
          <w:sz w:val="22"/>
        </w:rPr>
        <w:t>“e”</w:t>
      </w:r>
      <w:r>
        <w:rPr>
          <w:rFonts w:ascii="Times New Roman" w:hAnsi="Times New Roman"/>
          <w:b w:val="false"/>
          <w:i w:val="false"/>
          <w:color w:val="000000"/>
          <w:sz w:val="22"/>
        </w:rPr>
        <w:t xml:space="preserve"> will apply.</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0315D</w:t>
      </w:r>
      <w:r>
        <w:rPr>
          <w:rFonts w:ascii="Times New Roman" w:hAnsi="Times New Roman"/>
          <w:b w:val="false"/>
          <w:i w:val="false"/>
          <w:color w:val="000000"/>
          <w:sz w:val="16"/>
        </w:rPr>
        <w:t>, IAB 5/27/26, effective 7/1/26</w:t>
      </w:r>
      <w:r>
        <w:rPr>
          <w:rFonts w:ascii="Times New Roman" w:hAnsi="Times New Roman"/>
          <w:b w:val="false"/>
          <w:i w:val="false"/>
          <w:color w:val="000000"/>
          <w:sz w:val="16"/>
        </w:rPr>
        <w:t>]</w:t>
      </w:r>
    </w:p>
    <w:sectPr>
      <w:footerReference r:id="rId22"/>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ac/chapter/441.83.pdf" Type="http://schemas.openxmlformats.org/officeDocument/2006/relationships/hyperlink" Id="rId4"/>
    <Relationship TargetMode="External" Target="https://www.legis.iowa.gov/docs/iac/rule/441.90.4.pdf" Type="http://schemas.openxmlformats.org/officeDocument/2006/relationships/hyperlink" Id="rId5"/>
    <Relationship TargetMode="External" Target="https://www.legis.iowa.gov/docs/iac/rule/441.90.7.pdf" Type="http://schemas.openxmlformats.org/officeDocument/2006/relationships/hyperlink" Id="rId6"/>
    <Relationship TargetMode="External" Target="https://www.legis.iowa.gov/docs/iac/rule/441.78.13.pdf" Type="http://schemas.openxmlformats.org/officeDocument/2006/relationships/hyperlink" Id="rId7"/>
    <Relationship TargetMode="External" Target="https://www.legis.iowa.gov/docs/iac/rule/441.78.43.pdf" Type="http://schemas.openxmlformats.org/officeDocument/2006/relationships/hyperlink" Id="rId8"/>
    <Relationship TargetMode="External" Target="https://www.legis.iowa.gov/docs/iac/chapter/441.83.pdf" Type="http://schemas.openxmlformats.org/officeDocument/2006/relationships/hyperlink" Id="rId9"/>
    <Relationship TargetMode="External" Target="https://www.legis.iowa.gov/docs/ico/chapter/135C.pdf" Type="http://schemas.openxmlformats.org/officeDocument/2006/relationships/hyperlink" Id="rId10"/>
    <Relationship TargetMode="External" Target="https://www.legis.iowa.gov/docs/iac/rule/441.78.27.pdf" Type="http://schemas.openxmlformats.org/officeDocument/2006/relationships/hyperlink" Id="rId11"/>
    <Relationship TargetMode="External" Target="https://www.legis.iowa.gov/docs/iac/rule/441.78.34.pdf" Type="http://schemas.openxmlformats.org/officeDocument/2006/relationships/hyperlink" Id="rId12"/>
    <Relationship TargetMode="External" Target="https://www.legis.iowa.gov/docs/iac/rule/441.78.34.pdf" Type="http://schemas.openxmlformats.org/officeDocument/2006/relationships/hyperlink" Id="rId13"/>
    <Relationship TargetMode="External" Target="https://www.legis.iowa.gov/docs/iac/rule/441.79.1.pdf" Type="http://schemas.openxmlformats.org/officeDocument/2006/relationships/hyperlink" Id="rId14"/>
    <Relationship TargetMode="External" Target="https://www.legis.iowa.gov/docs/iac/rule/441.78.34.pdf" Type="http://schemas.openxmlformats.org/officeDocument/2006/relationships/hyperlink" Id="rId15"/>
    <Relationship TargetMode="External" Target="https://www.legis.iowa.gov/docs/iac/rule/441.78.27.pdf" Type="http://schemas.openxmlformats.org/officeDocument/2006/relationships/hyperlink" Id="rId16"/>
    <Relationship TargetMode="External" Target="https://www.legis.iowa.gov/docs/iac/rule/441.78.34.pdf" Type="http://schemas.openxmlformats.org/officeDocument/2006/relationships/hyperlink" Id="rId17"/>
    <Relationship TargetMode="External" Target="https://www.legis.iowa.gov/docs/iac/rule/441.78.34.pdf" Type="http://schemas.openxmlformats.org/officeDocument/2006/relationships/hyperlink" Id="rId18"/>
    <Relationship TargetMode="External" Target="https://www.legis.iowa.gov/docs/iac/rule/441.78.34.pdf" Type="http://schemas.openxmlformats.org/officeDocument/2006/relationships/hyperlink" Id="rId19"/>
    <Relationship TargetMode="External" Target="https://www.legis.iowa.gov/docs/iac/rule/441.77.30.pdf" Type="http://schemas.openxmlformats.org/officeDocument/2006/relationships/hyperlink" Id="rId20"/>
    <Relationship TargetMode="External" Target="https://www.legis.iowa.gov/docs/iac/rule/441.78.34.pdf" Type="http://schemas.openxmlformats.org/officeDocument/2006/relationships/hyperlink" Id="rId21"/>
    <Relationship Target="footer.xml" Type="http://schemas.openxmlformats.org/officeDocument/2006/relationships/footer" Id="rId22"/>
</Relationships>

</file>

<file path=docProps/app.xml><?xml version="1.0" encoding="utf-8"?>
<properties:Properties xmlns:vt="http://schemas.openxmlformats.org/officeDocument/2006/docPropsVTypes" xmlns:properties="http://schemas.openxmlformats.org/officeDocument/2006/extended-properties"/>
</file>

<file path=docProps/core.xml><?xml version="1.0" encoding="utf-8"?>
<cp:coreProperties xmlns:cp="http://schemas.openxmlformats.org/package/2006/metadata/core-properties" xmlns:dcterms="http://purl.org/dc/terms/" xmlns:dc="http://purl.org/dc/elements/1.1/"/>
</file>