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441—78.42</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providing covered vaccines. </w:t>
      </w:r>
      <w:r>
        <w:rPr>
          <w:rFonts w:ascii="Times New Roman" w:hAnsi="Times New Roman"/>
          <w:b w:val="false"/>
          <w:i w:val="false"/>
          <w:color w:val="000000"/>
          <w:sz w:val="22"/>
        </w:rPr>
        <w:t xml:space="preserve">When the authorized pharmacist providing the vaccine meets all Iowa board of pharmacy expanded practice standards and Medicaid requirements, payment will be made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78.42(1)</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children. </w:t>
      </w:r>
      <w:r>
        <w:rPr>
          <w:rFonts w:ascii="Times New Roman" w:hAnsi="Times New Roman"/>
          <w:b w:val="false"/>
          <w:i w:val="false"/>
          <w:color w:val="000000"/>
          <w:sz w:val="22"/>
        </w:rPr>
        <w:t xml:space="preserve">Payment will be made to an enrolled provider for an administration fee for vaccines available through the VFC program administered by the department if the provider is enrolled in the VFC program. Payment will be made for the vaccine cost only if the VFC program stock has been depleted.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78.42(2)</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adults. </w:t>
      </w:r>
      <w:r>
        <w:rPr>
          <w:rFonts w:ascii="Times New Roman" w:hAnsi="Times New Roman"/>
          <w:b w:val="false"/>
          <w:i w:val="false"/>
          <w:color w:val="000000"/>
          <w:sz w:val="22"/>
        </w:rPr>
        <w:t xml:space="preserve">Payment will be made to an enrolled provider for an administration fee and vaccine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78.42(3)</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reporting. </w:t>
      </w:r>
      <w:r>
        <w:rPr>
          <w:rFonts w:ascii="Times New Roman" w:hAnsi="Times New Roman"/>
          <w:b w:val="false"/>
          <w:i w:val="false"/>
          <w:color w:val="000000"/>
          <w:sz w:val="22"/>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