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care services,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that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management skills training services are activities that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Socialization skills training services are activities that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5">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Intensive residential services are supported community living services provided 24 hours per day to members with a serious and persistent mental illness diagnosis residing in a designated intensive residential service home.  To be eligible for supported community living intensive residential services, the member must meet the eligibility criteria in paragraph </w:t>
      </w:r>
      <w:hyperlink r:id="rId6">
        <w:r>
          <w:rPr>
            <w:rStyle w:val="Hyperlink"/>
            <w:rFonts w:ascii="Times New Roman" w:hAnsi="Times New Roman"/>
            <w:b w:val="false"/>
            <w:i w:val="false"/>
            <w:color w:val="000000"/>
            <w:sz w:val="22"/>
          </w:rPr>
          <w:t>78.27(7)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delivered through the remote supports modality must meet the requirements pursuant to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services delivered in a host home by a subcontractor of the supported community living services agency must meet the requirements pursuant to HCBS Waiver Provider Manual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criteria for receiving supported community living services for transition-age youth 16 to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supported community living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supported community living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7">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providers of the service setting being requested must meet the following additional safety and service requirements for serving youth under the age of 18: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 16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16 needing supported community living outside the family home must receive services in a licensed or certified residential-based supported community living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8">
        <w:r>
          <w:rPr>
            <w:rStyle w:val="Hyperlink"/>
            <w:rFonts w:ascii="Times New Roman" w:hAnsi="Times New Roman"/>
            <w:b w:val="false"/>
            <w:i w:val="false"/>
            <w:color w:val="000000"/>
            <w:sz w:val="22"/>
          </w:rPr>
          <w:t>78.41(1)</w:t>
        </w:r>
      </w:hyperlink>
      <w:r>
        <w:rPr>
          <w:rFonts w:ascii="Times New Roman" w:hAnsi="Times New Roman"/>
          <w:b w:val="false"/>
          <w:i/>
          <w:color w:val="000000"/>
          <w:sz w:val="22"/>
        </w:rPr>
        <w:t>“i”</w:t>
      </w:r>
      <w:r>
        <w:rPr>
          <w:rFonts w:ascii="Times New Roman" w:hAnsi="Times New Roman"/>
          <w:b w:val="false"/>
          <w:i w:val="false"/>
          <w:color w:val="000000"/>
          <w:sz w:val="22"/>
        </w:rPr>
        <w:t>(1)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will not be simultaneously reimbursed with other residential services or with respite, nursing, or home health aide services provided through Medicaid or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9">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The personal emergency response or portable locator system are services provided pursuant to subrule </w:t>
      </w:r>
      <w:hyperlink r:id="rId10">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11">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member’s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that are not payable under Medicaid as set forth in rule </w:t>
      </w:r>
      <w:hyperlink r:id="rId12">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13">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14">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IMMT services. </w:t>
      </w:r>
      <w:r>
        <w:rPr>
          <w:rFonts w:ascii="Times New Roman" w:hAnsi="Times New Roman"/>
          <w:b w:val="false"/>
          <w:i w:val="false"/>
          <w:color w:val="000000"/>
          <w:sz w:val="22"/>
        </w:rPr>
        <w:t xml:space="preserve">IMMT services are activities performed pursuant to subrule </w:t>
      </w:r>
      <w:hyperlink r:id="rId15">
        <w:r>
          <w:rPr>
            <w:rStyle w:val="Hyperlink"/>
            <w:rFonts w:ascii="Times New Roman" w:hAnsi="Times New Roman"/>
            <w:b w:val="false"/>
            <w:i w:val="false"/>
            <w:color w:val="000000"/>
            <w:sz w:val="22"/>
          </w:rPr>
          <w:t>78.34(8)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certified residential-based supported community living environment furnished by the residential-based supported community living service provider. The services eliminate barriers to family reunification or assist in developing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16">
        <w:r>
          <w:rPr>
            <w:rStyle w:val="Hyperlink"/>
            <w:rFonts w:ascii="Times New Roman" w:hAnsi="Times New Roman"/>
            <w:b w:val="false"/>
            <w:i w:val="false"/>
            <w:color w:val="000000"/>
            <w:sz w:val="22"/>
          </w:rPr>
          <w:t>441—paragraph 77.40(11)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will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 A day is 24 hours of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17">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18">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subrule </w:t>
      </w:r>
      <w:hyperlink r:id="rId19">
        <w:r>
          <w:rPr>
            <w:rStyle w:val="Hyperlink"/>
            <w:rFonts w:ascii="Times New Roman" w:hAnsi="Times New Roman"/>
            <w:b w:val="false"/>
            <w:i w:val="false"/>
            <w:color w:val="000000"/>
            <w:sz w:val="22"/>
          </w:rPr>
          <w:t>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20">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1">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22">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78.13.pdf" Type="http://schemas.openxmlformats.org/officeDocument/2006/relationships/hyperlink" Id="rId5"/>
    <Relationship TargetMode="External" Target="https://www.legis.iowa.gov/docs/iac/rule/441.78.27.pdf" Type="http://schemas.openxmlformats.org/officeDocument/2006/relationships/hyperlink" Id="rId6"/>
    <Relationship TargetMode="External" Target="https://www.legis.iowa.gov/docs/iac/rule/441.77.30.pdf" Type="http://schemas.openxmlformats.org/officeDocument/2006/relationships/hyperlink" Id="rId7"/>
    <Relationship TargetMode="External" Target="https://www.legis.iowa.gov/docs/iac/rule/441.78.41.pdf" Type="http://schemas.openxmlformats.org/officeDocument/2006/relationships/hyperlink" Id="rId8"/>
    <Relationship TargetMode="External" Target="https://www.legis.iowa.gov/docs/iac/rule/441.78.34.pdf" Type="http://schemas.openxmlformats.org/officeDocument/2006/relationships/hyperlink" Id="rId9"/>
    <Relationship TargetMode="External" Target="https://www.legis.iowa.gov/docs/iac/rule/441.78.34.pdf" Type="http://schemas.openxmlformats.org/officeDocument/2006/relationships/hyperlink" Id="rId10"/>
    <Relationship TargetMode="External" Target="https://www.legis.iowa.gov/docs/iac/rule/441.78.34.pdf" Type="http://schemas.openxmlformats.org/officeDocument/2006/relationships/hyperlink" Id="rId11"/>
    <Relationship TargetMode="External" Target="https://www.legis.iowa.gov/docs/iac/rule/441.78.9.pdf" Type="http://schemas.openxmlformats.org/officeDocument/2006/relationships/hyperlink" Id="rId12"/>
    <Relationship TargetMode="External" Target="https://www.legis.iowa.gov/docs/iac/rule/441.78.27.pdf" Type="http://schemas.openxmlformats.org/officeDocument/2006/relationships/hyperlink" Id="rId13"/>
    <Relationship TargetMode="External" Target="https://www.legis.iowa.gov/docs/iac/rule/441.78.34.pdf" Type="http://schemas.openxmlformats.org/officeDocument/2006/relationships/hyperlink" Id="rId14"/>
    <Relationship TargetMode="External" Target="https://www.legis.iowa.gov/docs/iac/rule/441.78.34.pdf" Type="http://schemas.openxmlformats.org/officeDocument/2006/relationships/hyperlink" Id="rId15"/>
    <Relationship TargetMode="External" Target="https://www.legis.iowa.gov/docs/iac/rule/441.77.40.pdf" Type="http://schemas.openxmlformats.org/officeDocument/2006/relationships/hyperlink" Id="rId16"/>
    <Relationship TargetMode="External" Target="https://www.legis.iowa.gov/docs/iac/rule/441.78.34.pdf" Type="http://schemas.openxmlformats.org/officeDocument/2006/relationships/hyperlink" Id="rId17"/>
    <Relationship TargetMode="External" Target="https://www.legis.iowa.gov/docs/iac/rule/441.78.27.pdf" Type="http://schemas.openxmlformats.org/officeDocument/2006/relationships/hyperlink" Id="rId18"/>
    <Relationship TargetMode="External" Target="https://www.legis.iowa.gov/docs/iac/rule/441.78.27.pdf" Type="http://schemas.openxmlformats.org/officeDocument/2006/relationships/hyperlink" Id="rId19"/>
    <Relationship TargetMode="External" Target="https://www.legis.iowa.gov/docs/iac/rule/441.78.34.pdf" Type="http://schemas.openxmlformats.org/officeDocument/2006/relationships/hyperlink" Id="rId20"/>
    <Relationship TargetMode="External" Target="https://www.legis.iowa.gov/docs/iac/rule/441.77.30.pdf" Type="http://schemas.openxmlformats.org/officeDocument/2006/relationships/hyperlink" Id="rId21"/>
    <Relationship TargetMode="External" Target="https://www.legis.iowa.gov/docs/iac/rule/441.78.34.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