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441—78.40</w:t>
      </w:r>
      <w:r>
        <w:rPr>
          <w:rFonts w:ascii="Times New Roman" w:hAnsi="Times New Roman"/>
          <w:b/>
          <w:i w:val="false"/>
          <w:color w:val="000000"/>
          <w:sz w:val="22"/>
        </w:rPr>
        <w:t xml:space="preserve">(249A) </w:t>
      </w:r>
      <w:r>
        <w:rPr>
          <w:rFonts w:ascii="Times New Roman" w:hAnsi="Times New Roman"/>
          <w:b/>
          <w:i w:val="false"/>
          <w:color w:val="000000"/>
          <w:sz w:val="22"/>
        </w:rPr>
        <w:t xml:space="preserve">ARNPs. </w:t>
      </w:r>
      <w:r>
        <w:rPr>
          <w:rFonts w:ascii="Times New Roman" w:hAnsi="Times New Roman"/>
          <w:b w:val="false"/>
          <w:i w:val="false"/>
          <w:color w:val="000000"/>
          <w:sz w:val="22"/>
        </w:rPr>
        <w:t xml:space="preserve">Payment will be approved for services provided by ARNPs within their scope of practice and the limitations of state law, with the exception of services not payable to physicians under rule </w:t>
      </w:r>
      <w:hyperlink r:id="rId4">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or otherwise not payable under any other applicable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78.40(1)</w:t>
      </w:r>
      <w:r>
        <w:rPr>
          <w:rFonts w:ascii="Times New Roman" w:hAnsi="Times New Roman"/>
          <w:b w:val="false"/>
          <w:i w:val="false"/>
          <w:color w:val="000000"/>
          <w:sz w:val="22"/>
        </w:rPr>
        <w:t> </w:t>
      </w:r>
      <w:r>
        <w:rPr>
          <w:rFonts w:ascii="Times New Roman" w:hAnsi="Times New Roman"/>
          <w:b w:val="false"/>
          <w:i/>
          <w:color w:val="000000"/>
          <w:sz w:val="22"/>
        </w:rPr>
        <w:t xml:space="preserve">Direct payment. </w:t>
      </w:r>
      <w:r>
        <w:rPr>
          <w:rFonts w:ascii="Times New Roman" w:hAnsi="Times New Roman"/>
          <w:b w:val="false"/>
          <w:i w:val="false"/>
          <w:color w:val="000000"/>
          <w:sz w:val="22"/>
        </w:rPr>
        <w:t>Payment will be made to ARNPs directly, without regard to whether the ARNP is employed by or associated with a physician, hospital, birth center, clinic, or other health care provider recognized under state law. An established protocol between a physician and the ARNP will not cause an ARNP to be considered auxiliary personnel of a physician, or an employee of a hospital, birth center, or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78.40(2)</w:t>
      </w:r>
      <w:r>
        <w:rPr>
          <w:rFonts w:ascii="Times New Roman" w:hAnsi="Times New Roman"/>
          <w:b w:val="false"/>
          <w:i w:val="false"/>
          <w:color w:val="000000"/>
          <w:sz w:val="22"/>
        </w:rPr>
        <w:t> </w:t>
      </w:r>
      <w:r>
        <w:rPr>
          <w:rFonts w:ascii="Times New Roman" w:hAnsi="Times New Roman"/>
          <w:b w:val="false"/>
          <w:i/>
          <w:color w:val="000000"/>
          <w:sz w:val="22"/>
        </w:rPr>
        <w:t xml:space="preserve">Location of service. </w:t>
      </w:r>
      <w:r>
        <w:rPr>
          <w:rFonts w:ascii="Times New Roman" w:hAnsi="Times New Roman"/>
          <w:b w:val="false"/>
          <w:i w:val="false"/>
          <w:color w:val="000000"/>
          <w:sz w:val="22"/>
        </w:rPr>
        <w:t>Payment will be approved for services rendered in any location in which the ARNP is legally authorized to provide services under state law. The nurse practitioner shall have promptly available the necessary equipment and personnel to handle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78.40(3)</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Utilization review will be conducted for Medicaid members who access more than 24 outpatient visits in any 12-month period from physicians, ARNPs, other clinics, and emergency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an ARNP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78.40(5)</w:t>
      </w:r>
      <w:r>
        <w:rPr>
          <w:rFonts w:ascii="Times New Roman" w:hAnsi="Times New Roman"/>
          <w:b w:val="false"/>
          <w:i w:val="false"/>
          <w:color w:val="000000"/>
          <w:sz w:val="22"/>
        </w:rPr>
        <w:t> </w:t>
      </w:r>
      <w:r>
        <w:rPr>
          <w:rFonts w:ascii="Times New Roman" w:hAnsi="Times New Roman"/>
          <w:b w:val="false"/>
          <w:i/>
          <w:color w:val="000000"/>
          <w:sz w:val="22"/>
        </w:rPr>
        <w:t xml:space="preserve">Prenatal risk assessment. </w:t>
      </w:r>
      <w:r>
        <w:rPr>
          <w:rFonts w:ascii="Times New Roman" w:hAnsi="Times New Roman"/>
          <w:b w:val="false"/>
          <w:i w:val="false"/>
          <w:color w:val="000000"/>
          <w:sz w:val="22"/>
        </w:rPr>
        <w:t>Risk assessment, using a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described in subrule </w:t>
      </w:r>
      <w:hyperlink r:id="rId5">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pdf" Type="http://schemas.openxmlformats.org/officeDocument/2006/relationships/hyperlink" Id="rId4"/>
    <Relationship TargetMode="External" Target="https://www.legis.iowa.gov/docs/iac/rule/441.78.2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