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441—78.4</w:t>
      </w:r>
      <w:r>
        <w:rPr>
          <w:rFonts w:ascii="Times New Roman" w:hAnsi="Times New Roman"/>
          <w:b/>
          <w:i w:val="false"/>
          <w:color w:val="000000"/>
          <w:sz w:val="22"/>
        </w:rPr>
        <w:t xml:space="preserve">(249A) </w:t>
      </w:r>
      <w:r>
        <w:rPr>
          <w:rFonts w:ascii="Times New Roman" w:hAnsi="Times New Roman"/>
          <w:b/>
          <w:i w:val="false"/>
          <w:color w:val="000000"/>
          <w:sz w:val="22"/>
        </w:rPr>
        <w:t xml:space="preserve">Dental services. </w:t>
      </w:r>
      <w:r>
        <w:rPr>
          <w:rFonts w:ascii="Times New Roman" w:hAnsi="Times New Roman"/>
          <w:b w:val="false"/>
          <w:i w:val="false"/>
          <w:color w:val="000000"/>
          <w:sz w:val="22"/>
        </w:rPr>
        <w:t>Payment is authorized only for medically necessary dental and oral surgery services provided by a dentist to the extent these services are permitted to be performed under state law either by doctors of medicine, osteopathy, dental surgery or dental medicine and would be covered if furnished by doctors of medicine or osteopathy. Services must be reasonable, necessary, and cost-effective for the prevention, diagnosis, and treatment of dental disease or injuries or for oral devices necessary for a medical condition. Payment will also be made for the following dental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w:t>
      </w:r>
      <w:r>
        <w:rPr>
          <w:rFonts w:ascii="Times New Roman" w:hAnsi="Times New Roman"/>
          <w:b w:val="false"/>
          <w:i w:val="false"/>
          <w:color w:val="000000"/>
          <w:sz w:val="22"/>
        </w:rPr>
        <w:t> </w:t>
      </w:r>
      <w:r>
        <w:rPr>
          <w:rFonts w:ascii="Times New Roman" w:hAnsi="Times New Roman"/>
          <w:b w:val="false"/>
          <w:i/>
          <w:color w:val="000000"/>
          <w:sz w:val="22"/>
        </w:rPr>
        <w:t xml:space="preserve">Preventive services. </w:t>
      </w:r>
      <w:r>
        <w:rPr>
          <w:rFonts w:ascii="Times New Roman" w:hAnsi="Times New Roman"/>
          <w:b w:val="false"/>
          <w:i w:val="false"/>
          <w:color w:val="000000"/>
          <w:sz w:val="22"/>
        </w:rPr>
        <w:t>Payment will be made for the following preventive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Oral prophylaxis, including necessary scaling and polishing, once in a six-month period except for persons who, because of a physical or mental condition, need more frequent care. Documentation supporting the need for oral prophylaxis performed more than once in a six-month period must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Topical application of fluoride, once every 90 days. (This does not include the use of fluoride prophylaxis paste as fluoride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Pit and fissure sealants for placement on deciduous and permanent posterior teeth only. Reimbursement for sealants is restricted to work performed on members through 18 years of age and on members who have a physical or mental condition that impairs their ability to maintain adequate oral hygiene. Replacement sealants are covered when medically necessary, as documented in the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Space management services in mixed dentition when premature loss of teeth would permit existing teeth to shift and cause a handicapping malocclusion, or there is too little dental ridge to accommodate either the number or the size of teeth and significant dental disease will result if the condition is not corrected.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78.4(2)</w:t>
      </w:r>
      <w:r>
        <w:rPr>
          <w:rFonts w:ascii="Times New Roman" w:hAnsi="Times New Roman"/>
          <w:b w:val="false"/>
          <w:i w:val="false"/>
          <w:color w:val="000000"/>
          <w:sz w:val="22"/>
        </w:rPr>
        <w:t> </w:t>
      </w:r>
      <w:r>
        <w:rPr>
          <w:rFonts w:ascii="Times New Roman" w:hAnsi="Times New Roman"/>
          <w:b w:val="false"/>
          <w:i/>
          <w:color w:val="000000"/>
          <w:sz w:val="22"/>
        </w:rPr>
        <w:t xml:space="preserve">Diagnostic services. </w:t>
      </w:r>
      <w:r>
        <w:rPr>
          <w:rFonts w:ascii="Times New Roman" w:hAnsi="Times New Roman"/>
          <w:b w:val="false"/>
          <w:i w:val="false"/>
          <w:color w:val="000000"/>
          <w:sz w:val="22"/>
        </w:rPr>
        <w:t>Payment will be made for the following diagnostic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comprehensive oral evaluation once per member per dental practice in a three-year period when the member has not been seen by a dentist in the dental practice during the three-year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periodic oral examination once in a six-month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full mouth radiograph survey, consisting of a minimum of 14 periapical films and bite-wing films, or a panoramic radiograph with bite-wings once in a five-year period, except when medically necessary to evaluate development and to detect anomalies, injuries and diseases. Full mouth radiograph surveys are not payable under the age of six except when medically necessary. A panographic-type radiography with bite-wings is considered the same as a full mouth radiograph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Supplemental bite-wing films only once in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Single periapical films when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Intraoral radiograph, occlusal.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Extraoral radiograph.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Posterior-anterior and lateral skull and facial bone radiograph, survey film.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Temporomandibular joint radiograph.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Cephalometric film.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Diagnostic casts only for orthodontic cases or dental implants or when requested by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Cone beam images when medically necessary for situations including but not limited to detection of tumors, positioning of severely impacted teeth, supernumerary teeth or dental implants.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w:t>
      </w:r>
      <w:r>
        <w:rPr>
          <w:rFonts w:ascii="Times New Roman" w:hAnsi="Times New Roman"/>
          <w:b w:val="false"/>
          <w:i w:val="false"/>
          <w:color w:val="000000"/>
          <w:sz w:val="22"/>
        </w:rPr>
        <w:t> </w:t>
      </w:r>
      <w:r>
        <w:rPr>
          <w:rFonts w:ascii="Times New Roman" w:hAnsi="Times New Roman"/>
          <w:b w:val="false"/>
          <w:i/>
          <w:color w:val="000000"/>
          <w:sz w:val="22"/>
        </w:rPr>
        <w:t xml:space="preserve">Restorative services. </w:t>
      </w:r>
      <w:r>
        <w:rPr>
          <w:rFonts w:ascii="Times New Roman" w:hAnsi="Times New Roman"/>
          <w:b w:val="false"/>
          <w:i w:val="false"/>
          <w:color w:val="000000"/>
          <w:sz w:val="22"/>
        </w:rPr>
        <w:t>Payment will be made for the following restorative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Treatment of dental caries in those areas that require immediate attention. Restoration of incipient or nonactive carious lesions are not payable. Carious activity may be considered incipient when there is no penetration of the dento-enamel junction as demonstrated in diagnostic radiographs.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Amalgam alloy and composite resin-type filling materials only once for the same restoration in a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Crowns when there is at least a fair prognosis for maintaining the tooth as determined by Iowa Medicaid and when a more conservative procedure would not be serviceable.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Stainless steel crowns are limited to primary and permanent posterior teeth and are covered when coronal loss of tooth structure does not allow restoration with an amalgam or composite restoration. Placement on permanent posterior teeth is allowed only for members who have a mental or physical condition that limits their ability to tolerate the procedure for placement of a different crown.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Aesthetic coated stainless steel crowns and stainless steel crowns with a resin window are limited to primary anterior teeth.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Laboratory-fabricated crowns, other than stainless steel, are limited to permanent teeth and require prior authorization. Approval will be granted when coronal loss of tooth structure does not allow restoration with an amalgam or composite restoration or when there is evidence of recurring decay surrounding a large existing restoration, a fracture, a broken cusp(s), or an endodontic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Crowns with noble or high noble metals require prior authorization. Approval will be granted for members who meet the criteria for a laboratory-fabricated crown, other than stainless steel, and who have a documented allergy to all other restorative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Cast post and core, post and composite or post and amalgam in addition to a crown when a tooth is functional and the integrity of the tooth would be jeopardized by no post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restoration procedures, as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Amalgam or acrylic buildups, including any pins, are considered a core buildup.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two, or more restorations on one surface of a tooth will be paid as a one-surface restoration (i.e., mesial occlusal pit and distal occlusal pit of a maxillary molar or mesial and distal occlusal pits of a lower bicuspid).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Occlusal lingual groove of a maxillary molar that extends from the distal occlusal pit and down the distolingual groove will be paid as a two-surface restoration. This restoration and a mesial occlusal pit restoration on the same tooth will be paid as one, two-surface restoration.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Two separate one-surface restorations are payable as a two-surface restoration (i.e., an occlusal pit restoration and a buccal pit restoration are a two-surface restoration).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Tooth preparation, temporary restorations, cement bases, pulp capping, impressions, and local anesthesia are included in the restorative fee and may not be billed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Pin retention will be paid on a per-tooth basis and in addition to the final restoration.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More than four surfaces on an amalgam restoration will be reimbursed as a “four-surface” amalgam.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 amalgam or composite restoration is not payable following a sedative filling in the same tooth unless the sedative filling was placed more than 30 days previously.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78.4(4)</w:t>
      </w:r>
      <w:r>
        <w:rPr>
          <w:rFonts w:ascii="Times New Roman" w:hAnsi="Times New Roman"/>
          <w:b w:val="false"/>
          <w:i w:val="false"/>
          <w:color w:val="000000"/>
          <w:sz w:val="22"/>
        </w:rPr>
        <w:t> </w:t>
      </w:r>
      <w:r>
        <w:rPr>
          <w:rFonts w:ascii="Times New Roman" w:hAnsi="Times New Roman"/>
          <w:b w:val="false"/>
          <w:i/>
          <w:color w:val="000000"/>
          <w:sz w:val="22"/>
        </w:rPr>
        <w:t xml:space="preserve">Periodontal services. </w:t>
      </w:r>
      <w:r>
        <w:rPr>
          <w:rFonts w:ascii="Times New Roman" w:hAnsi="Times New Roman"/>
          <w:b w:val="false"/>
          <w:i w:val="false"/>
          <w:color w:val="000000"/>
          <w:sz w:val="22"/>
        </w:rPr>
        <w:t>Payment may be made for the following periodontal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Full-mouth debridement to enable comprehensive periodontal evaluation and diagnosis once every 24 months. This procedure is not payable on the same date of service when other prophylaxis or periodontal services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Periodontal scaling and root planing once every 24 months when prior approval has been received. Prior approval will be granted per quadrant when radiographs demonstrate subgingival calculus or loss of crestal bone and when the periodontal probe chart shows evidence of pocket depths of 4 mm or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Periodontal surgical procedures including gingivoplasty, osseous surgery, and osseous allograft when prior approval has been received. Payment for these surgical procedures will be approved after periodontal scaling and root planing has been provided, a reevaluation examination has been completed, and the member has demonstrated reasonable oral hygiene. Payment is also allowed for members who are unable to demonstrate reasonable oral hygiene due to a physical or mental condition, or who exhibit evidence of gingival hyperplasia, or who have a deep carious lesion that cannot be otherwise accessed for restoration.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Pedicle soft tissue graft, free soft tissue graft, and subepithelial connective tissue graft with prior approval. Authorization will be granted when the amount of tissue loss is causing problems such as continued bone loss, chronic root sensitivity, complete loss of attached tissue, or difficulty maintaining adequate oral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Periodontal maintenance therapy, which requires prior authorization. Approval will be granted for members who have completed periodontal scaling and root planing at least three months prior to the initial periodontal maintenance therapy and the periodontal probe chart shows evidence of pocket depths of 4 mm or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Tissue regeneration procedures, which require prior authorization. Approval will be granted when radiographs show evidence of recession in relation to the muco-gingival junction and the bone level indicates the tooth has a fair to good long-term prognosis.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Localized delivery of antimicrobial agents, which requires prior authorization. Approval will be granted when at least one year has elapsed since periodontal scaling and root planing was completed, the member has maintained regular periodontal maintenance, and pocket depths remain at a moderate to severe depth with bleeding on probing. Authorization is limited to once per site every 12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78.4(5)</w:t>
      </w:r>
      <w:r>
        <w:rPr>
          <w:rFonts w:ascii="Times New Roman" w:hAnsi="Times New Roman"/>
          <w:b w:val="false"/>
          <w:i w:val="false"/>
          <w:color w:val="000000"/>
          <w:sz w:val="22"/>
        </w:rPr>
        <w:t> </w:t>
      </w:r>
      <w:r>
        <w:rPr>
          <w:rFonts w:ascii="Times New Roman" w:hAnsi="Times New Roman"/>
          <w:b w:val="false"/>
          <w:i/>
          <w:color w:val="000000"/>
          <w:sz w:val="22"/>
        </w:rPr>
        <w:t xml:space="preserve">Endodontic services. </w:t>
      </w:r>
      <w:r>
        <w:rPr>
          <w:rFonts w:ascii="Times New Roman" w:hAnsi="Times New Roman"/>
          <w:b w:val="false"/>
          <w:i w:val="false"/>
          <w:color w:val="000000"/>
          <w:sz w:val="22"/>
        </w:rPr>
        <w:t>Payment will be made for the following endodontic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Root canal treatments on permanent anterior and posterior teeth when there is presence of extensive decay, infection, draining fistulas, severe pain upon chewing or applied pressure, prolonged sensitivity to temperatures, or a discolored tooth indicative of a nonvital tooth.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Vital pulpotomies. Cement bases, pulp capping, and insulating liners are considered part of the restoration and may not be billed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Surgical endodontic treatment, including an apicoectomy, performed as a separate surgical procedure; an apicoectomy, performed in conjunction with endodontic procedure; an apical curettage; a root resection; or excision of hyperplastic tissue when nonsurgical treatment has been attempted and a reasonable time of approximately one year has elapsed after which failure has been demonstrated. Surgical endodontic procedures may be indicated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Conventional root canal treatment cannot be successfully completed because canals cannot be negotiated, debrided or obturated due to calcifications, blockages, broken instruments, severe curvatures, and dilacerated roots.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Correction of problems resulting from conventional treatment, including gross underfilling, perforations, and canal blockages with restorative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Endodontic retreatment when prior authorization has been received. Authorization for retreatment of a tooth with previous endodontic treatment will be granted when the conventional treatment has been completed, a reasonable time has elapsed since the initial treatment, and failure has been demonstrated with a radiograph and narrative history. A reasonable period of time is approximately one year if the treating dentist is the same and may be less if the member must see a different dentist.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w:t>
      </w:r>
      <w:r>
        <w:rPr>
          <w:rFonts w:ascii="Times New Roman" w:hAnsi="Times New Roman"/>
          <w:b w:val="false"/>
          <w:i w:val="false"/>
          <w:color w:val="000000"/>
          <w:sz w:val="22"/>
        </w:rPr>
        <w:t> </w:t>
      </w:r>
      <w:r>
        <w:rPr>
          <w:rFonts w:ascii="Times New Roman" w:hAnsi="Times New Roman"/>
          <w:b w:val="false"/>
          <w:i/>
          <w:color w:val="000000"/>
          <w:sz w:val="22"/>
        </w:rPr>
        <w:t xml:space="preserve">Oral surgery—medically necessary. </w:t>
      </w:r>
      <w:r>
        <w:rPr>
          <w:rFonts w:ascii="Times New Roman" w:hAnsi="Times New Roman"/>
          <w:b w:val="false"/>
          <w:i w:val="false"/>
          <w:color w:val="000000"/>
          <w:sz w:val="22"/>
        </w:rPr>
        <w:t xml:space="preserve">Payment will be made for medically necessary oral surgery services furnished by dentists to the extent that these services may be performed under state law either by doctors of medicine, osteopathy, dental surgery or dental medicine and would be covered if furnished by doctors of medicine or osteopathy as defined in rule </w:t>
      </w:r>
      <w:hyperlink r:id="rId4">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(249A). These services will be reimbursed in a manner consistent with the physician’s reimbursement policy. The following surgical procedures are also payable when performed by a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Extractions, both surgical and nonsurgical.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Impaction (soft tissue impaction, upper or lower) that requires an incision of overlying soft tissue and the removal of the tooth.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Impaction (partial bony impaction, upper or lower) that requires incision of overlying soft tissue, elevation of a flap, removal of bone and removal of the tooth.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Impaction (complete bony impaction, upper or lower) that requires incision of overlying soft tissue, elevation of a flap, removal of bone and section of the tooth for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Root recovery (surgical removal of residual root).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Oral antral fistula closure (or antral root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Surgical exposure of impacted or unerupted tooth for orthodontic reasons, including ligation when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Surgical exposure of impacted or unerupted tooth to aid eruption.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Postoperative care where need is shown to be beyond normal follow-up care or for postoperative care where the original service was performed by another dentist.</w:t>
      </w:r>
    </w:p>
    <w:p>
      <w:pPr>
        <w:spacing w:before="0" w:after="0"/>
        <w:ind w:left="120"/>
        <w:jc w:val="both"/>
      </w:pPr>
      <w:r>
        <w:rPr>
          <w:rFonts w:ascii="Times New Roman" w:hAnsi="Times New Roman"/>
          <w:b w:val="false"/>
          <w:i w:val="false"/>
          <w:color w:val="000000"/>
          <w:sz w:val="22"/>
        </w:rPr>
        <w:t>Routine postoperative care is considered part of the fee for surgical procedures and may not be billed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78.4(7)</w:t>
      </w:r>
      <w:r>
        <w:rPr>
          <w:rFonts w:ascii="Times New Roman" w:hAnsi="Times New Roman"/>
          <w:b w:val="false"/>
          <w:i w:val="false"/>
          <w:color w:val="000000"/>
          <w:sz w:val="22"/>
        </w:rPr>
        <w:t> </w:t>
      </w:r>
      <w:r>
        <w:rPr>
          <w:rFonts w:ascii="Times New Roman" w:hAnsi="Times New Roman"/>
          <w:b w:val="false"/>
          <w:i/>
          <w:color w:val="000000"/>
          <w:sz w:val="22"/>
        </w:rPr>
        <w:t xml:space="preserve">Prosthetic services. </w:t>
      </w:r>
      <w:r>
        <w:rPr>
          <w:rFonts w:ascii="Times New Roman" w:hAnsi="Times New Roman"/>
          <w:b w:val="false"/>
          <w:i w:val="false"/>
          <w:color w:val="000000"/>
          <w:sz w:val="22"/>
        </w:rPr>
        <w:t>Payment may be made for the following prosthetic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immediate denture or a first-time complete denture. Six months’ postdelivery care is included in the reimbursement for the denture.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removable partial denture replacing anterior teeth when prior approval has been received. Approval will be granted when radiographs demonstrate adequate space for replacement of a missing anterior tooth. Six months’ postdelivery care is included in the reimbursement for the denture.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removable partial denture replacing posterior teeth including six months’ postdelivery care when prior approval has been received. Approval will be granted when the member has fewer than eight posterior teeth in occlusion, excluding third molars, or the member has a full denture in one arch and a partial denture replacing posterior teeth is required in the opposing arch to balance occlusion. When one removable partial denture brings eight posterior teeth in occlusion, no additional removable partial denture will be approved. Six months’ postdelivery care is included in the reimbursement for the denture.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fixed partial denture (including an acid etch fixed partial denture) replacing anterior teeth when prior approval has been received. Approval will be granted for members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physical or mental condition that precludes the use of a removable partial denture,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an existing bridge that needs replacement due to breakage or extensive, recurrent decay.</w:t>
      </w:r>
    </w:p>
    <w:p>
      <w:pPr>
        <w:spacing w:before="0" w:after="0"/>
        <w:ind w:left="120"/>
        <w:jc w:val="both"/>
      </w:pPr>
      <w:r>
        <w:rPr>
          <w:rFonts w:ascii="Times New Roman" w:hAnsi="Times New Roman"/>
          <w:b w:val="false"/>
          <w:i w:val="false"/>
          <w:color w:val="000000"/>
          <w:sz w:val="22"/>
        </w:rPr>
        <w:t>High noble or noble metals will be approved only when the member is allergic to all other restorative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fixed partial denture replacing posterior teeth when prior approval has been received. Approval will be granted for members who meet the criteria for a removable partial denture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physical or mental condition that precludes the use of a removable partial denture,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full denture in one arch and a partial fixed denture replacing posterior teeth is required in the opposing arch to balance occlusion.</w:t>
      </w:r>
    </w:p>
    <w:p>
      <w:pPr>
        <w:spacing w:before="0" w:after="0"/>
        <w:ind w:left="120"/>
        <w:jc w:val="both"/>
      </w:pPr>
      <w:r>
        <w:rPr>
          <w:rFonts w:ascii="Times New Roman" w:hAnsi="Times New Roman"/>
          <w:b w:val="false"/>
          <w:i w:val="false"/>
          <w:color w:val="000000"/>
          <w:sz w:val="22"/>
        </w:rPr>
        <w:t>High noble or noble metals will be approved only when the member is allergic to all other restorative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Obturator for surgically excised palatal tissue or deficient velopharyngeal function of cleft palate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Chairside relines and laboratory-processed relines only once per prosthesis every 12 months, beginning 6 months after placement of the denture.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Tissue conditioning twice per prosthesis in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Two repairs per prosthesis in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Adjustments to a complete or removable partial denture when medically necessary after six months’ postdelivery care. An adjustment consists of removal of acrylic material or adjustment of teeth to eliminate a sore area or to make the denture fit better. Warming dentures and massaging them for better fit or placing them in a sonic device does not constitute an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Dental implants and related services when prior authorization has been received. Prior authorization will be granted when the member is missing significant oral structures due to cancer, traumatic injuries, or developmental defects such as cleft palate and cannot use a conventional denture.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Replacement of complete or partial dentures in less than a five-year period, which requires prior authorization. Approval will be granted once per denture replacement per arch in a five-year period when the denture has been lost, stolen or broken beyond repair or cannot be adjusted for an adequate fit. Approval will also be granted for more than one denture replacement per arch within five years for members who have a medical condition that necessitates thorough mastication. Approval will not be granted in less than a five-year period when the reason for replacement is resorption.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complete or partial denture rebase, which requires prior approval. Approval will be granted when the acrylic of the denture is cracked or has had numerous repairs and the teeth are in good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An oral appliance for obstructive sleep apnea, which requires prior approval and must be custom-fabricated. Approval will be granted in accordance with Medicare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78.4(8)</w:t>
      </w:r>
      <w:r>
        <w:rPr>
          <w:rFonts w:ascii="Times New Roman" w:hAnsi="Times New Roman"/>
          <w:b w:val="false"/>
          <w:i w:val="false"/>
          <w:color w:val="000000"/>
          <w:sz w:val="22"/>
        </w:rPr>
        <w:t> </w:t>
      </w:r>
      <w:r>
        <w:rPr>
          <w:rFonts w:ascii="Times New Roman" w:hAnsi="Times New Roman"/>
          <w:b w:val="false"/>
          <w:i/>
          <w:color w:val="000000"/>
          <w:sz w:val="22"/>
        </w:rPr>
        <w:t xml:space="preserve">Orthodontic procedures. </w:t>
      </w:r>
      <w:r>
        <w:rPr>
          <w:rFonts w:ascii="Times New Roman" w:hAnsi="Times New Roman"/>
          <w:b w:val="false"/>
          <w:i w:val="false"/>
          <w:color w:val="000000"/>
          <w:sz w:val="22"/>
        </w:rPr>
        <w:t>Payment may be made for the following orthodontic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Minor treatment to control harmful habits when prior approval has been received. Approval will be granted when it is cost-effective to lessen the severity of a malformation such that extensive treatment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Interceptive orthodontic treatment of the transitional dentition when prior approval has been received. Approval will be granted when it is cost-effective to lessen the severity of a malformation such that extensive treatment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Comprehensive orthodontic treatment when prior approval has been received. Approval is limited to members under 21 years of age and will be granted when the member has a severe handicapping malocclusion as defined by the department and when determined to be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78.4(9)</w:t>
      </w:r>
      <w:r>
        <w:rPr>
          <w:rFonts w:ascii="Times New Roman" w:hAnsi="Times New Roman"/>
          <w:b w:val="false"/>
          <w:i w:val="false"/>
          <w:color w:val="000000"/>
          <w:sz w:val="22"/>
        </w:rPr>
        <w:t> </w:t>
      </w:r>
      <w:r>
        <w:rPr>
          <w:rFonts w:ascii="Times New Roman" w:hAnsi="Times New Roman"/>
          <w:b w:val="false"/>
          <w:i/>
          <w:color w:val="000000"/>
          <w:sz w:val="22"/>
        </w:rPr>
        <w:t xml:space="preserve">Adjunctive general services. </w:t>
      </w:r>
      <w:r>
        <w:rPr>
          <w:rFonts w:ascii="Times New Roman" w:hAnsi="Times New Roman"/>
          <w:b w:val="false"/>
          <w:i w:val="false"/>
          <w:color w:val="000000"/>
          <w:sz w:val="22"/>
        </w:rPr>
        <w:t>Payment may be made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Treatment in a hospital. Payment will be approved for dental treatment rendered to a hospitalized member only when the mental, physical, or emotional condition of the member prevents the dentist from providing necessary care in the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Treatment in a nursing facility. Payment will be approved for dental treatment provided in a nursing facility. When more than one patient is examined during the same nursing home visit, payment will be made by the Medicaid program for only one visit to the nursing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Office visit. Payment will be approved for an office visit for care of injuries or abnormal conditions of the teeth or supporting structure when treatment procedures or examinations are not billed for that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Office calls after hours. Payment will be approved for office calls after office hours in emergency situations. The office call will be paid in addition to treatment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Drugs. Payment will be made for drugs dispensed by a dentist only if there is no licensed retail pharmacy in the community where the dentist’s office is located. Payment will not be made for writing 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Anesthesia. General anesthesia, intravenous sedation, and nonintravenous conscious sedation are payable services when the extensiveness of the procedure indicates it or there is a concomitant disease or impairment that warrants use of anesthesia. Inhalation of nitrous oxide is payable when the age or physical or mental condition of the member necessitates the use of minimal sedation for dental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Occlusal guard. A removable dental appliance to minimize the effects of bruxism and other occlusal factors requires prior approval. Approval will be granted when the documentation supports evidence of significant loss of tooth enamel, tooth chipping, headaches or jaw pain.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78.4(10)</w:t>
      </w:r>
      <w:r>
        <w:rPr>
          <w:rFonts w:ascii="Times New Roman" w:hAnsi="Times New Roman"/>
          <w:b w:val="false"/>
          <w:i w:val="false"/>
          <w:color w:val="000000"/>
          <w:sz w:val="22"/>
        </w:rPr>
        <w:t> </w:t>
      </w:r>
      <w:r>
        <w:rPr>
          <w:rFonts w:ascii="Times New Roman" w:hAnsi="Times New Roman"/>
          <w:b w:val="false"/>
          <w:i/>
          <w:color w:val="000000"/>
          <w:sz w:val="22"/>
        </w:rPr>
        <w:t xml:space="preserve">Orthodontic services to members 21 years of age or older. </w:t>
      </w:r>
      <w:r>
        <w:rPr>
          <w:rFonts w:ascii="Times New Roman" w:hAnsi="Times New Roman"/>
          <w:b w:val="false"/>
          <w:i w:val="false"/>
          <w:color w:val="000000"/>
          <w:sz w:val="22"/>
        </w:rPr>
        <w:t>Orthodontic procedures are not covered for members 21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w:t>
      </w:r>
      <w:r>
        <w:rPr>
          <w:rFonts w:ascii="Times New Roman" w:hAnsi="Times New Roman"/>
          <w:b w:val="false"/>
          <w:i w:val="false"/>
          <w:color w:val="000000"/>
          <w:sz w:val="22"/>
        </w:rPr>
        <w:t> </w:t>
      </w:r>
      <w:r>
        <w:rPr>
          <w:rFonts w:ascii="Times New Roman" w:hAnsi="Times New Roman"/>
          <w:b w:val="false"/>
          <w:i/>
          <w:color w:val="000000"/>
          <w:sz w:val="22"/>
        </w:rPr>
        <w:t xml:space="preserve">Emergency services. </w:t>
      </w:r>
      <w:r>
        <w:rPr>
          <w:rFonts w:ascii="Times New Roman" w:hAnsi="Times New Roman"/>
          <w:b w:val="false"/>
          <w:i w:val="false"/>
          <w:color w:val="000000"/>
          <w:sz w:val="22"/>
        </w:rPr>
        <w:t xml:space="preserve">Payment will be made for emergency services as defined in and pursuant to the requirements set forth in </w:t>
      </w:r>
      <w:r>
        <w:rPr>
          <w:rFonts w:ascii="Times New Roman" w:hAnsi="Times New Roman"/>
          <w:b w:val="false"/>
          <w:i w:val="false"/>
          <w:color w:val="000000"/>
          <w:sz w:val="22"/>
        </w:rPr>
        <w:t>42 CFR 438.114</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78.4(12)</w:t>
      </w:r>
      <w:r>
        <w:rPr>
          <w:rFonts w:ascii="Times New Roman" w:hAnsi="Times New Roman"/>
          <w:b w:val="false"/>
          <w:i w:val="false"/>
          <w:color w:val="000000"/>
          <w:sz w:val="22"/>
        </w:rPr>
        <w:t> </w:t>
      </w:r>
      <w:r>
        <w:rPr>
          <w:rFonts w:ascii="Times New Roman" w:hAnsi="Times New Roman"/>
          <w:b w:val="false"/>
          <w:i/>
          <w:color w:val="000000"/>
          <w:sz w:val="22"/>
        </w:rPr>
        <w:t xml:space="preserve">Prior authorization. </w:t>
      </w:r>
      <w:r>
        <w:rPr>
          <w:rFonts w:ascii="Times New Roman" w:hAnsi="Times New Roman"/>
          <w:b w:val="false"/>
          <w:i w:val="false"/>
          <w:color w:val="000000"/>
          <w:sz w:val="22"/>
        </w:rPr>
        <w:t xml:space="preserve">Certain dental services require prior authorization as set forth in this rule. Covered dental service categories requiring prior approval are further defined and outlined in the Iowa Medicaid Dental Services Provider Manual as amended to July 1, 2026.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78.4(13)</w:t>
      </w:r>
      <w:r>
        <w:rPr>
          <w:rFonts w:ascii="Times New Roman" w:hAnsi="Times New Roman"/>
          <w:b w:val="false"/>
          <w:i w:val="false"/>
          <w:color w:val="000000"/>
          <w:sz w:val="22"/>
        </w:rPr>
        <w:t> </w:t>
      </w:r>
      <w:r>
        <w:rPr>
          <w:rFonts w:ascii="Times New Roman" w:hAnsi="Times New Roman"/>
          <w:b w:val="false"/>
          <w:i/>
          <w:color w:val="000000"/>
          <w:sz w:val="22"/>
        </w:rPr>
        <w:t xml:space="preserve">Service setting. </w:t>
      </w:r>
      <w:r>
        <w:rPr>
          <w:rFonts w:ascii="Times New Roman" w:hAnsi="Times New Roman"/>
          <w:b w:val="false"/>
          <w:i w:val="false"/>
          <w:color w:val="000000"/>
          <w:sz w:val="22"/>
        </w:rPr>
        <w:t xml:space="preserve">When dental services cannot be safely performed in a dental office, they may be provided in a hospital or ambulatory surgical center and reimbursed in accordance with rule </w:t>
      </w:r>
      <w:hyperlink r:id="rId5">
        <w:r>
          <w:rPr>
            <w:rStyle w:val="Hyperlink"/>
            <w:rFonts w:ascii="Times New Roman" w:hAnsi="Times New Roman"/>
            <w:b w:val="false"/>
            <w:i w:val="false"/>
            <w:color w:val="000000"/>
            <w:sz w:val="22"/>
          </w:rPr>
          <w:t>441—78.26</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78.4(14)</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Payment requires compliance with Iowa Medicaid policies, clinical criteria, and documentation requirements as specified in the Iowa Medicaid Dental Services Provider Manual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78.4(15)</w:t>
      </w:r>
      <w:r>
        <w:rPr>
          <w:rFonts w:ascii="Times New Roman" w:hAnsi="Times New Roman"/>
          <w:b w:val="false"/>
          <w:i w:val="false"/>
          <w:color w:val="000000"/>
          <w:sz w:val="22"/>
        </w:rPr>
        <w:t> </w:t>
      </w:r>
      <w:r>
        <w:rPr>
          <w:rFonts w:ascii="Times New Roman" w:hAnsi="Times New Roman"/>
          <w:b w:val="false"/>
          <w:i/>
          <w:color w:val="000000"/>
          <w:sz w:val="22"/>
        </w:rPr>
        <w:t xml:space="preserve">Annual benefit maximum.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Members 21 years of age or older have an annual benefit maximum of $1,000 per state fiscal year for coverage of dental services set forth in this rule. Payment for services exceeding the $1,000 annual benefit maximum is the responsibility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services do not count toward the annual benefit maximum: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Preventive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Diagnostic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Fabrication of removable dentures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Anesthesia when provided in conjunction with oral surgery codes approved for payment;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Emergency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8.1.pdf" Type="http://schemas.openxmlformats.org/officeDocument/2006/relationships/hyperlink" Id="rId4"/>
    <Relationship TargetMode="External" Target="https://www.legis.iowa.gov/docs/iac/rule/441.78.26.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