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441—78.38</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AIDS/HIV waiver services. </w:t>
      </w:r>
      <w:r>
        <w:rPr>
          <w:rFonts w:ascii="Times New Roman" w:hAnsi="Times New Roman"/>
          <w:b w:val="false"/>
          <w:i w:val="false"/>
          <w:color w:val="000000"/>
          <w:sz w:val="22"/>
        </w:rPr>
        <w:t xml:space="preserve">Payment will be approved for the following services to members eligible for the HCBS AIDS/HIV waiver services as established in </w:t>
      </w:r>
      <w:hyperlink r:id="rId4">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Payment shall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78.38(1)</w:t>
      </w:r>
      <w:r>
        <w:rPr>
          <w:rFonts w:ascii="Times New Roman" w:hAnsi="Times New Roman"/>
          <w:b w:val="false"/>
          <w:i w:val="false"/>
          <w:color w:val="000000"/>
          <w:sz w:val="22"/>
        </w:rPr>
        <w:t> </w:t>
      </w:r>
      <w:r>
        <w:rPr>
          <w:rFonts w:ascii="Times New Roman" w:hAnsi="Times New Roman"/>
          <w:b w:val="false"/>
          <w:i/>
          <w:color w:val="000000"/>
          <w:sz w:val="22"/>
        </w:rPr>
        <w:t xml:space="preserve">Counseling services. </w:t>
      </w:r>
      <w:r>
        <w:rPr>
          <w:rFonts w:ascii="Times New Roman" w:hAnsi="Times New Roman"/>
          <w:b w:val="false"/>
          <w:i w:val="false"/>
          <w:color w:val="000000"/>
          <w:sz w:val="22"/>
        </w:rPr>
        <w:t xml:space="preserve">Counseling services are face-to-face mental health services provided to the member and caregiver by a mental health professional as defined in rule </w:t>
      </w:r>
      <w:hyperlink r:id="rId5">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(225A) to facilitate home management of the member and prevent institutionalization. Counseling services are nonpsychiatric services necessary for the management of depression, assistance with the grief process, alleviation of psychosocial isolation and support in coping with a disability or illness, including terminal illness. Counseling services may be provided both for the purpose of training the member’s family or other caregiver to provide care, and for the purpose of helping the member and those caring for the member to adjust to the member’s disability or terminal condition. Counseling services may be provided to the member’s caregiver only when included in the case plan for the member.</w:t>
      </w:r>
    </w:p>
    <w:p>
      <w:pPr>
        <w:spacing w:before="0" w:after="0"/>
        <w:ind w:left="120"/>
        <w:jc w:val="both"/>
      </w:pPr>
      <w:r>
        <w:rPr>
          <w:rFonts w:ascii="Times New Roman" w:hAnsi="Times New Roman"/>
          <w:b w:val="false"/>
          <w:i w:val="false"/>
          <w:color w:val="000000"/>
          <w:sz w:val="22"/>
        </w:rPr>
        <w:t>Payment will be made for individual and group counseling. A unit of individual counseling for the waiver member or the waiver member and the member’s caregiver is 15 minutes. A unit of group counseling is 15 minutes. Payment for group counseling is based on the group rate divided by six, or, if the number of persons who comprise the group exceeds six, the actual number of persons who comprise the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78.38(2)</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services. </w:t>
      </w:r>
      <w:r>
        <w:rPr>
          <w:rFonts w:ascii="Times New Roman" w:hAnsi="Times New Roman"/>
          <w:b w:val="false"/>
          <w:i w:val="false"/>
          <w:color w:val="000000"/>
          <w:sz w:val="22"/>
        </w:rPr>
        <w:t xml:space="preserve">Home health aide services are personal or direct care services provided to the client which are not payable under Medicaid as set forth in rule </w:t>
      </w:r>
      <w:hyperlink r:id="rId6">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 unit of service is a visit. Components of the service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Observation and reporting of physical or emotional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Helping a client with bath, shampoo, or oral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Helping a client with toileting.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Helping a client in and out of bed and with ambulation.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Helping a client reestablish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Assisting with oral medications ordinarily self-administered and ordered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Performing incidental household services which are essential to the client’s health care at home and are necessary to prevent or postpone institutionalization in order to complete a full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78.38(3)</w:t>
      </w:r>
      <w:r>
        <w:rPr>
          <w:rFonts w:ascii="Times New Roman" w:hAnsi="Times New Roman"/>
          <w:b w:val="false"/>
          <w:i w:val="false"/>
          <w:color w:val="000000"/>
          <w:sz w:val="22"/>
        </w:rPr>
        <w:t> </w:t>
      </w:r>
      <w:r>
        <w:rPr>
          <w:rFonts w:ascii="Times New Roman" w:hAnsi="Times New Roman"/>
          <w:b w:val="false"/>
          <w:i/>
          <w:color w:val="000000"/>
          <w:sz w:val="22"/>
        </w:rPr>
        <w:t xml:space="preserve">Home maintenance support services. </w:t>
      </w:r>
      <w:r>
        <w:rPr>
          <w:rFonts w:ascii="Times New Roman" w:hAnsi="Times New Roman"/>
          <w:b w:val="false"/>
          <w:i w:val="false"/>
          <w:color w:val="000000"/>
          <w:sz w:val="22"/>
        </w:rPr>
        <w:t xml:space="preserve">Home maintenance support services are service activities provided pursuant to subrule </w:t>
      </w:r>
      <w:hyperlink r:id="rId7">
        <w:r>
          <w:rPr>
            <w:rStyle w:val="Hyperlink"/>
            <w:rFonts w:ascii="Times New Roman" w:hAnsi="Times New Roman"/>
            <w:b w:val="false"/>
            <w:i w:val="false"/>
            <w:color w:val="000000"/>
            <w:sz w:val="22"/>
          </w:rPr>
          <w:t>78.34(1)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78.38(4)</w:t>
      </w:r>
      <w:r>
        <w:rPr>
          <w:rFonts w:ascii="Times New Roman" w:hAnsi="Times New Roman"/>
          <w:b w:val="false"/>
          <w:i w:val="false"/>
          <w:color w:val="000000"/>
          <w:sz w:val="22"/>
        </w:rPr>
        <w:t> </w:t>
      </w:r>
      <w:r>
        <w:rPr>
          <w:rFonts w:ascii="Times New Roman" w:hAnsi="Times New Roman"/>
          <w:b w:val="false"/>
          <w:i/>
          <w:color w:val="000000"/>
          <w:sz w:val="22"/>
        </w:rPr>
        <w:t xml:space="preserve">Nursing care services. </w:t>
      </w:r>
      <w:r>
        <w:rPr>
          <w:rFonts w:ascii="Times New Roman" w:hAnsi="Times New Roman"/>
          <w:b w:val="false"/>
          <w:i w:val="false"/>
          <w:color w:val="000000"/>
          <w:sz w:val="22"/>
        </w:rPr>
        <w:t>Nursing care services are services provided by licensed agency nurses to clients in the home which are ordered by and included in the plan of treatment established by the physician. The services shall be reasonable and necessary to the treatment of an illness or injury and include: observation; evaluation; teaching; training; supervision; therapeutic exercise; bowel and bladder care; administration of medications; intravenous and enteral feedings; skin care; preparation of clinical and progress notes; coordination of services; and informing the physician and other personnel of changes in the patient’s conditions and needs. A unit of service is a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78.38(5)</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 xml:space="preserve">Respite care services are services provided pursuant to subrule </w:t>
      </w:r>
      <w:hyperlink r:id="rId8">
        <w:r>
          <w:rPr>
            <w:rStyle w:val="Hyperlink"/>
            <w:rFonts w:ascii="Times New Roman" w:hAnsi="Times New Roman"/>
            <w:b w:val="false"/>
            <w:i w:val="false"/>
            <w:color w:val="000000"/>
            <w:sz w:val="22"/>
          </w:rPr>
          <w:t>78.34(5)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78.38(6)</w:t>
      </w:r>
      <w:r>
        <w:rPr>
          <w:rFonts w:ascii="Times New Roman" w:hAnsi="Times New Roman"/>
          <w:b w:val="false"/>
          <w:i w:val="false"/>
          <w:color w:val="000000"/>
          <w:sz w:val="22"/>
        </w:rPr>
        <w:t> </w:t>
      </w:r>
      <w:r>
        <w:rPr>
          <w:rFonts w:ascii="Times New Roman" w:hAnsi="Times New Roman"/>
          <w:b w:val="false"/>
          <w:i/>
          <w:color w:val="000000"/>
          <w:sz w:val="22"/>
        </w:rPr>
        <w:t xml:space="preserve">Home-delivered meals. </w:t>
      </w:r>
      <w:r>
        <w:rPr>
          <w:rFonts w:ascii="Times New Roman" w:hAnsi="Times New Roman"/>
          <w:b w:val="false"/>
          <w:i w:val="false"/>
          <w:color w:val="000000"/>
          <w:sz w:val="22"/>
        </w:rPr>
        <w:t xml:space="preserve">Home-delivered meals are meals provided pursuant to subrule </w:t>
      </w:r>
      <w:hyperlink r:id="rId9">
        <w:r>
          <w:rPr>
            <w:rStyle w:val="Hyperlink"/>
            <w:rFonts w:ascii="Times New Roman" w:hAnsi="Times New Roman"/>
            <w:b w:val="false"/>
            <w:i w:val="false"/>
            <w:color w:val="000000"/>
            <w:sz w:val="22"/>
          </w:rPr>
          <w:t>78.34(11)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78.38(7)</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r>
        <w:rPr>
          <w:rFonts w:ascii="Times New Roman" w:hAnsi="Times New Roman"/>
          <w:b w:val="false"/>
          <w:i w:val="false"/>
          <w:color w:val="000000"/>
          <w:sz w:val="22"/>
        </w:rPr>
        <w:t xml:space="preserve">Adult day care services are activities provided pursuant to subrule </w:t>
      </w:r>
      <w:hyperlink r:id="rId10">
        <w:r>
          <w:rPr>
            <w:rStyle w:val="Hyperlink"/>
            <w:rFonts w:ascii="Times New Roman" w:hAnsi="Times New Roman"/>
            <w:b w:val="false"/>
            <w:i w:val="false"/>
            <w:color w:val="000000"/>
            <w:sz w:val="22"/>
          </w:rPr>
          <w:t>78.34(3)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78.38(8)</w:t>
      </w:r>
      <w:r>
        <w:rPr>
          <w:rFonts w:ascii="Times New Roman" w:hAnsi="Times New Roman"/>
          <w:b w:val="false"/>
          <w:i w:val="false"/>
          <w:color w:val="000000"/>
          <w:sz w:val="22"/>
        </w:rPr>
        <w:t> </w:t>
      </w:r>
      <w:r>
        <w:rPr>
          <w:rFonts w:ascii="Times New Roman" w:hAnsi="Times New Roman"/>
          <w:b w:val="false"/>
          <w:i/>
          <w:color w:val="000000"/>
          <w:sz w:val="22"/>
        </w:rPr>
        <w:t xml:space="preserve">Attendant care service. </w:t>
      </w:r>
      <w:r>
        <w:rPr>
          <w:rFonts w:ascii="Times New Roman" w:hAnsi="Times New Roman"/>
          <w:b w:val="false"/>
          <w:i w:val="false"/>
          <w:color w:val="000000"/>
          <w:sz w:val="22"/>
        </w:rPr>
        <w:t xml:space="preserve">Attendant care services are service activities performed pursuant to subrule </w:t>
      </w:r>
      <w:hyperlink r:id="rId11">
        <w:r>
          <w:rPr>
            <w:rStyle w:val="Hyperlink"/>
            <w:rFonts w:ascii="Times New Roman" w:hAnsi="Times New Roman"/>
            <w:b w:val="false"/>
            <w:i w:val="false"/>
            <w:color w:val="000000"/>
            <w:sz w:val="22"/>
          </w:rPr>
          <w:t>78.34(7)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78.38(9)</w:t>
      </w:r>
      <w:r>
        <w:rPr>
          <w:rFonts w:ascii="Times New Roman" w:hAnsi="Times New Roman"/>
          <w:b w:val="false"/>
          <w:i w:val="false"/>
          <w:color w:val="000000"/>
          <w:sz w:val="22"/>
        </w:rPr>
        <w:t> </w:t>
      </w:r>
      <w:r>
        <w:rPr>
          <w:rFonts w:ascii="Times New Roman" w:hAnsi="Times New Roman"/>
          <w:b w:val="false"/>
          <w:i/>
          <w:color w:val="000000"/>
          <w:sz w:val="22"/>
        </w:rPr>
        <w:t xml:space="preserve">CCO. </w:t>
      </w:r>
      <w:r>
        <w:rPr>
          <w:rFonts w:ascii="Times New Roman" w:hAnsi="Times New Roman"/>
          <w:b w:val="false"/>
          <w:i w:val="false"/>
          <w:color w:val="000000"/>
          <w:sz w:val="22"/>
        </w:rPr>
        <w:t xml:space="preserve">The CCO are service activities provided pursuant to subrule </w:t>
      </w:r>
      <w:hyperlink r:id="rId12">
        <w:r>
          <w:rPr>
            <w:rStyle w:val="Hyperlink"/>
            <w:rFonts w:ascii="Times New Roman" w:hAnsi="Times New Roman"/>
            <w:b w:val="false"/>
            <w:i w:val="false"/>
            <w:color w:val="000000"/>
            <w:sz w:val="22"/>
          </w:rPr>
          <w:t>78.34(13)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78.38(10)</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AIDS/HIV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will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w:t>
      </w:r>
      <w:hyperlink r:id="rId13">
        <w:r>
          <w:rPr>
            <w:rStyle w:val="Hyperlink"/>
            <w:rFonts w:ascii="Times New Roman" w:hAnsi="Times New Roman"/>
            <w:b w:val="false"/>
            <w:i w:val="false"/>
            <w:color w:val="000000"/>
            <w:sz w:val="22"/>
          </w:rPr>
          <w:t>441—subrule 77.30(4)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services with a 15-minute unit of service, the rounding process outlined in paragraph </w:t>
      </w:r>
      <w:hyperlink r:id="rId14">
        <w:r>
          <w:rPr>
            <w:rStyle w:val="Hyperlink"/>
            <w:rFonts w:ascii="Times New Roman" w:hAnsi="Times New Roman"/>
            <w:b w:val="false"/>
            <w:i w:val="false"/>
            <w:color w:val="000000"/>
            <w:sz w:val="22"/>
          </w:rPr>
          <w:t>78.34(14)</w:t>
        </w:r>
      </w:hyperlink>
      <w:r>
        <w:rPr>
          <w:rFonts w:ascii="Times New Roman" w:hAnsi="Times New Roman"/>
          <w:b w:val="false"/>
          <w:i/>
          <w:color w:val="000000"/>
          <w:sz w:val="22"/>
        </w:rPr>
        <w:t>“e”</w:t>
      </w:r>
      <w:r>
        <w:rPr>
          <w:rFonts w:ascii="Times New Roman" w:hAnsi="Times New Roman"/>
          <w:b w:val="false"/>
          <w:i w:val="false"/>
          <w:color w:val="000000"/>
          <w:sz w:val="22"/>
        </w:rPr>
        <w:t xml:space="preserve"> will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83.pdf" Type="http://schemas.openxmlformats.org/officeDocument/2006/relationships/hyperlink" Id="rId4"/>
    <Relationship TargetMode="External" Target="https://www.legis.iowa.gov/docs/iac/rule/441.24.1.pdf" Type="http://schemas.openxmlformats.org/officeDocument/2006/relationships/hyperlink" Id="rId5"/>
    <Relationship TargetMode="External" Target="https://www.legis.iowa.gov/docs/iac/rule/441.78.9.pdf" Type="http://schemas.openxmlformats.org/officeDocument/2006/relationships/hyperlink" Id="rId6"/>
    <Relationship TargetMode="External" Target="https://www.legis.iowa.gov/docs/iac/rule/441.78.34.pdf" Type="http://schemas.openxmlformats.org/officeDocument/2006/relationships/hyperlink" Id="rId7"/>
    <Relationship TargetMode="External" Target="https://www.legis.iowa.gov/docs/iac/rule/441.78.34.pdf" Type="http://schemas.openxmlformats.org/officeDocument/2006/relationships/hyperlink" Id="rId8"/>
    <Relationship TargetMode="External" Target="https://www.legis.iowa.gov/docs/iac/rule/441.78.34.pdf" Type="http://schemas.openxmlformats.org/officeDocument/2006/relationships/hyperlink" Id="rId9"/>
    <Relationship TargetMode="External" Target="https://www.legis.iowa.gov/docs/iac/rule/441.78.34.pdf" Type="http://schemas.openxmlformats.org/officeDocument/2006/relationships/hyperlink" Id="rId10"/>
    <Relationship TargetMode="External" Target="https://www.legis.iowa.gov/docs/iac/rule/441.78.34.pdf" Type="http://schemas.openxmlformats.org/officeDocument/2006/relationships/hyperlink" Id="rId11"/>
    <Relationship TargetMode="External" Target="https://www.legis.iowa.gov/docs/iac/rule/441.78.34.pdf" Type="http://schemas.openxmlformats.org/officeDocument/2006/relationships/hyperlink" Id="rId12"/>
    <Relationship TargetMode="External" Target="https://www.legis.iowa.gov/docs/iac/rule/441.77.30.pdf" Type="http://schemas.openxmlformats.org/officeDocument/2006/relationships/hyperlink" Id="rId13"/>
    <Relationship TargetMode="External" Target="https://www.legis.iowa.gov/docs/iac/rule/441.78.34.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