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441—78.37</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elderly waiver services. </w:t>
      </w:r>
      <w:r>
        <w:rPr>
          <w:rFonts w:ascii="Times New Roman" w:hAnsi="Times New Roman"/>
          <w:b w:val="false"/>
          <w:i w:val="false"/>
          <w:color w:val="000000"/>
          <w:sz w:val="22"/>
        </w:rPr>
        <w:t xml:space="preserve">Payment will be approved for the following services to members eligible for the HCBS elderly waiver services as established in </w:t>
      </w:r>
      <w:hyperlink r:id="rId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 xml:space="preserve">Adult day care services are activities provided pursuant to subrule </w:t>
      </w:r>
      <w:hyperlink r:id="rId5">
        <w:r>
          <w:rPr>
            <w:rStyle w:val="Hyperlink"/>
            <w:rFonts w:ascii="Times New Roman" w:hAnsi="Times New Roman"/>
            <w:b w:val="false"/>
            <w:i w:val="false"/>
            <w:color w:val="000000"/>
            <w:sz w:val="22"/>
          </w:rPr>
          <w:t>78.34(3)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78.37(2)</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r>
        <w:rPr>
          <w:rFonts w:ascii="Times New Roman" w:hAnsi="Times New Roman"/>
          <w:b w:val="false"/>
          <w:i w:val="false"/>
          <w:color w:val="000000"/>
          <w:sz w:val="22"/>
        </w:rPr>
        <w:t xml:space="preserve">A personal emergency response or portable locator system are services provided pursuant to subrule </w:t>
      </w:r>
      <w:hyperlink r:id="rId6">
        <w:r>
          <w:rPr>
            <w:rStyle w:val="Hyperlink"/>
            <w:rFonts w:ascii="Times New Roman" w:hAnsi="Times New Roman"/>
            <w:b w:val="false"/>
            <w:i w:val="false"/>
            <w:color w:val="000000"/>
            <w:sz w:val="22"/>
          </w:rPr>
          <w:t>78.34(10)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78.37(3)</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client which are not payable under Medicaid as set forth in rule </w:t>
      </w:r>
      <w:hyperlink r:id="rId7">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Components of the service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ordinarily self-administered and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78.37(4)</w:t>
      </w:r>
      <w:r>
        <w:rPr>
          <w:rFonts w:ascii="Times New Roman" w:hAnsi="Times New Roman"/>
          <w:b w:val="false"/>
          <w:i w:val="false"/>
          <w:color w:val="000000"/>
          <w:sz w:val="22"/>
        </w:rPr>
        <w:t> </w:t>
      </w:r>
      <w:r>
        <w:rPr>
          <w:rFonts w:ascii="Times New Roman" w:hAnsi="Times New Roman"/>
          <w:b w:val="false"/>
          <w:i/>
          <w:color w:val="000000"/>
          <w:sz w:val="22"/>
        </w:rPr>
        <w:t xml:space="preserve">Home maintenance support services. </w:t>
      </w:r>
      <w:r>
        <w:rPr>
          <w:rFonts w:ascii="Times New Roman" w:hAnsi="Times New Roman"/>
          <w:b w:val="false"/>
          <w:i w:val="false"/>
          <w:color w:val="000000"/>
          <w:sz w:val="22"/>
        </w:rPr>
        <w:t xml:space="preserve">Home maintenance support services  are  activities provided pursuant to subrule </w:t>
      </w:r>
      <w:hyperlink r:id="rId8">
        <w:r>
          <w:rPr>
            <w:rStyle w:val="Hyperlink"/>
            <w:rFonts w:ascii="Times New Roman" w:hAnsi="Times New Roman"/>
            <w:b w:val="false"/>
            <w:i w:val="false"/>
            <w:color w:val="000000"/>
            <w:sz w:val="22"/>
          </w:rPr>
          <w:t>78.34(1)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78.37(5)</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an extension of the State Plan, are included in the plan of treatment approved by the physician, and are provided by licensed agency nurses to members in the home or community. The services are reasonable and necessary to the treatment of an illness or injury and include all nursing tasks recognized by the board of nursing. A unit of service is one visit. Nursing care service can pay for a maximum of eight nursing visits per month for intermediate level of care persons. There is no limit on the maximum visits for skilled level of care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78.37(6)</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 xml:space="preserve">Respite care services are service activities provided pursuant to subrule </w:t>
      </w:r>
      <w:hyperlink r:id="rId9">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78.37(7)</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 xml:space="preserve">Home-delivered meals are meals provided pursuant to subrule </w:t>
      </w:r>
      <w:hyperlink r:id="rId10">
        <w:r>
          <w:rPr>
            <w:rStyle w:val="Hyperlink"/>
            <w:rFonts w:ascii="Times New Roman" w:hAnsi="Times New Roman"/>
            <w:b w:val="false"/>
            <w:i w:val="false"/>
            <w:color w:val="000000"/>
            <w:sz w:val="22"/>
          </w:rPr>
          <w:t>78.34(11)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78.37(8)</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 xml:space="preserve">Covered home or vehicle modifications are activities provided pursuant to subrule </w:t>
      </w:r>
      <w:hyperlink r:id="rId11">
        <w:r>
          <w:rPr>
            <w:rStyle w:val="Hyperlink"/>
            <w:rFonts w:ascii="Times New Roman" w:hAnsi="Times New Roman"/>
            <w:b w:val="false"/>
            <w:i w:val="false"/>
            <w:color w:val="000000"/>
            <w:sz w:val="22"/>
          </w:rPr>
          <w:t>78.34(9)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78.37(9)</w:t>
      </w:r>
      <w:r>
        <w:rPr>
          <w:rFonts w:ascii="Times New Roman" w:hAnsi="Times New Roman"/>
          <w:b w:val="false"/>
          <w:i w:val="false"/>
          <w:color w:val="000000"/>
          <w:sz w:val="22"/>
        </w:rPr>
        <w:t> </w:t>
      </w:r>
      <w:r>
        <w:rPr>
          <w:rFonts w:ascii="Times New Roman" w:hAnsi="Times New Roman"/>
          <w:b w:val="false"/>
          <w:i/>
          <w:color w:val="000000"/>
          <w:sz w:val="22"/>
        </w:rPr>
        <w:t xml:space="preserve">Senior companion. </w:t>
      </w:r>
      <w:r>
        <w:rPr>
          <w:rFonts w:ascii="Times New Roman" w:hAnsi="Times New Roman"/>
          <w:b w:val="false"/>
          <w:i w:val="false"/>
          <w:color w:val="000000"/>
          <w:sz w:val="22"/>
        </w:rPr>
        <w:t>Senior companion services are nonmedical care supervision, oversight, and respite. Companions may assist with such tasks as meal preparation, laundry, shopping and light housekeeping tasks. This service cannot provide hands-on nursing or medical care.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78.37(10)</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pursuant to subrule </w:t>
      </w:r>
      <w:hyperlink r:id="rId12">
        <w:r>
          <w:rPr>
            <w:rStyle w:val="Hyperlink"/>
            <w:rFonts w:ascii="Times New Roman" w:hAnsi="Times New Roman"/>
            <w:b w:val="false"/>
            <w:i w:val="false"/>
            <w:color w:val="000000"/>
            <w:sz w:val="22"/>
          </w:rPr>
          <w:t>78.34(7)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78.37(11)</w:t>
      </w:r>
      <w:r>
        <w:rPr>
          <w:rFonts w:ascii="Times New Roman" w:hAnsi="Times New Roman"/>
          <w:b w:val="false"/>
          <w:i w:val="false"/>
          <w:color w:val="000000"/>
          <w:sz w:val="22"/>
        </w:rPr>
        <w:t> </w:t>
      </w:r>
      <w:r>
        <w:rPr>
          <w:rFonts w:ascii="Times New Roman" w:hAnsi="Times New Roman"/>
          <w:b w:val="false"/>
          <w:i/>
          <w:color w:val="000000"/>
          <w:sz w:val="22"/>
        </w:rPr>
        <w:t xml:space="preserve">CCO. </w:t>
      </w:r>
      <w:r>
        <w:rPr>
          <w:rFonts w:ascii="Times New Roman" w:hAnsi="Times New Roman"/>
          <w:b w:val="false"/>
          <w:i w:val="false"/>
          <w:color w:val="000000"/>
          <w:sz w:val="22"/>
        </w:rPr>
        <w:t xml:space="preserve">The CCO is service activities provided pursuant to subrule </w:t>
      </w:r>
      <w:hyperlink r:id="rId13">
        <w:r>
          <w:rPr>
            <w:rStyle w:val="Hyperlink"/>
            <w:rFonts w:ascii="Times New Roman" w:hAnsi="Times New Roman"/>
            <w:b w:val="false"/>
            <w:i w:val="false"/>
            <w:color w:val="000000"/>
            <w:sz w:val="22"/>
          </w:rPr>
          <w:t>78.34(13)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78.37(12)</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 xml:space="preserve">Case management services are services that assist Medicaid members who reside in a community setting or are transitioning to a community setting in gaining access to needed medical, social, educational, housing, transportation, vocational, and other appropriate services in order to ensure the health, safety, and welfare of the member. Case management is provided at the direction of the member and the interdisciplinary team established pursuant to </w:t>
      </w:r>
      <w:hyperlink r:id="rId14">
        <w:r>
          <w:rPr>
            <w:rStyle w:val="Hyperlink"/>
            <w:rFonts w:ascii="Times New Roman" w:hAnsi="Times New Roman"/>
            <w:b w:val="false"/>
            <w:i w:val="false"/>
            <w:color w:val="000000"/>
            <w:sz w:val="22"/>
          </w:rPr>
          <w:t>441—subrule 83.22(2)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Case management services shall be provided as set forth in rules </w:t>
      </w:r>
      <w:hyperlink r:id="rId15">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16">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 management shall not include the provision of direct services by the case managers.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case management shall not be made until the member is enrolled in the waiver. Payment shall be made only for case management services performed on behalf of the member during a month when the member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78.37(13)</w:t>
      </w:r>
      <w:r>
        <w:rPr>
          <w:rFonts w:ascii="Times New Roman" w:hAnsi="Times New Roman"/>
          <w:b w:val="false"/>
          <w:i w:val="false"/>
          <w:color w:val="000000"/>
          <w:sz w:val="22"/>
        </w:rPr>
        <w:t> </w:t>
      </w:r>
      <w:r>
        <w:rPr>
          <w:rFonts w:ascii="Times New Roman" w:hAnsi="Times New Roman"/>
          <w:b w:val="false"/>
          <w:i/>
          <w:color w:val="000000"/>
          <w:sz w:val="22"/>
        </w:rPr>
        <w:t xml:space="preserve">Assisted living service. </w:t>
      </w:r>
      <w:r>
        <w:rPr>
          <w:rFonts w:ascii="Times New Roman" w:hAnsi="Times New Roman"/>
          <w:b w:val="false"/>
          <w:i w:val="false"/>
          <w:color w:val="000000"/>
          <w:sz w:val="22"/>
        </w:rPr>
        <w:t>The assisted living service includes unanticipated and unscheduled personal care and supportive services that are furnished to waiver participants who reside in a homelike, noninstitutional setting. The service includes the 24-hour on-site response capability to meet unpredictable member needs as well as member safety and security through incidental supervision. Assisted living service is not reimbursable if performed at the same time as any service included in an approved attendant care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unit of service is one 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day of assisted living service is billable only if both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was present in the facility during that day’s bed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assisted living provider has documented at least one assisted living service encounter for that day, in accordance with rule </w:t>
      </w:r>
      <w:hyperlink r:id="rId17">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The documentation must include the member’s response to the service. The documented assisted living service cannot also be an authorized attendant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78.37(14)</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elderly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18">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detailed in paragraph </w:t>
      </w:r>
      <w:hyperlink r:id="rId19">
        <w:r>
          <w:rPr>
            <w:rStyle w:val="Hyperlink"/>
            <w:rFonts w:ascii="Times New Roman" w:hAnsi="Times New Roman"/>
            <w:b w:val="false"/>
            <w:i w:val="false"/>
            <w:color w:val="000000"/>
            <w:sz w:val="22"/>
          </w:rPr>
          <w:t>78.31(14)</w:t>
        </w:r>
        <w:r>
          <w:rPr>
            <w:rFonts w:ascii="Times New Roman" w:hAnsi="Times New Roman"/>
            <w:b w:val="false"/>
            <w:i/>
            <w:color w:val="000000"/>
            <w:sz w:val="22"/>
          </w:rPr>
          <w:t>“e”</w:t>
        </w:r>
        <w:r>
          <w:rPr>
            <w:rFonts w:ascii="Times New Roman" w:hAnsi="Times New Roman"/>
            <w:b w:val="false"/>
            <w:i w:val="false"/>
            <w:color w:val="000000"/>
            <w:sz w:val="22"/>
          </w:rPr>
          <w:t xml:space="preserve"> will apply.</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83.pdf" Type="http://schemas.openxmlformats.org/officeDocument/2006/relationships/hyperlink" Id="rId4"/>
    <Relationship TargetMode="External" Target="https://www.legis.iowa.gov/docs/iac/rule/441.78.34.pdf" Type="http://schemas.openxmlformats.org/officeDocument/2006/relationships/hyperlink" Id="rId5"/>
    <Relationship TargetMode="External" Target="https://www.legis.iowa.gov/docs/iac/rule/441.78.34.pdf" Type="http://schemas.openxmlformats.org/officeDocument/2006/relationships/hyperlink" Id="rId6"/>
    <Relationship TargetMode="External" Target="https://www.legis.iowa.gov/docs/iac/rule/441.78.9.pdf" Type="http://schemas.openxmlformats.org/officeDocument/2006/relationships/hyperlink" Id="rId7"/>
    <Relationship TargetMode="External" Target="https://www.legis.iowa.gov/docs/iac/rule/441.78.34.pdf" Type="http://schemas.openxmlformats.org/officeDocument/2006/relationships/hyperlink" Id="rId8"/>
    <Relationship TargetMode="External" Target="https://www.legis.iowa.gov/docs/iac/rule/441.78.34.pdf" Type="http://schemas.openxmlformats.org/officeDocument/2006/relationships/hyperlink" Id="rId9"/>
    <Relationship TargetMode="External" Target="https://www.legis.iowa.gov/docs/iac/rule/441.78.34.pdf" Type="http://schemas.openxmlformats.org/officeDocument/2006/relationships/hyperlink" Id="rId10"/>
    <Relationship TargetMode="External" Target="https://www.legis.iowa.gov/docs/iac/rule/441.78.34.pdf" Type="http://schemas.openxmlformats.org/officeDocument/2006/relationships/hyperlink" Id="rId11"/>
    <Relationship TargetMode="External" Target="https://www.legis.iowa.gov/docs/iac/rule/441.78.34.pdf" Type="http://schemas.openxmlformats.org/officeDocument/2006/relationships/hyperlink" Id="rId12"/>
    <Relationship TargetMode="External" Target="https://www.legis.iowa.gov/docs/iac/rule/441.78.34.pdf" Type="http://schemas.openxmlformats.org/officeDocument/2006/relationships/hyperlink" Id="rId13"/>
    <Relationship TargetMode="External" Target="https://www.legis.iowa.gov/docs/iac/rule/441.83.22.pdf" Type="http://schemas.openxmlformats.org/officeDocument/2006/relationships/hyperlink" Id="rId14"/>
    <Relationship TargetMode="External" Target="https://www.legis.iowa.gov/docs/iac/rule/441.90.4.pdf" Type="http://schemas.openxmlformats.org/officeDocument/2006/relationships/hyperlink" Id="rId15"/>
    <Relationship TargetMode="External" Target="https://www.legis.iowa.gov/docs/iac/rule/441.90.7.pdf" Type="http://schemas.openxmlformats.org/officeDocument/2006/relationships/hyperlink" Id="rId16"/>
    <Relationship TargetMode="External" Target="https://www.legis.iowa.gov/docs/iac/rule/441.79.3.pdf" Type="http://schemas.openxmlformats.org/officeDocument/2006/relationships/hyperlink" Id="rId17"/>
    <Relationship TargetMode="External" Target="https://www.legis.iowa.gov/docs/iac/rule/441.77.30.pdf" Type="http://schemas.openxmlformats.org/officeDocument/2006/relationships/hyperlink" Id="rId18"/>
    <Relationship TargetMode="External" Target="https://www.legis.iowa.gov/docs/iac/rule/441.78.31.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