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441—78.36</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78.36(1)</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w:t>
      </w:r>
      <w:r>
        <w:rPr>
          <w:rFonts w:ascii="Times New Roman" w:hAnsi="Times New Roman"/>
          <w:b w:val="false"/>
          <w:i w:val="false"/>
          <w:color w:val="000000"/>
          <w:sz w:val="22"/>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Covered services. Covered services include, in accordance with Medicare guidelines,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 maintenance support and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speech-language pathology unless this provision has been waived under the Medicare program for a specific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items or services specified in the resident’s plan that would otherwise be paid under the Medicaid program.</w:t>
      </w:r>
    </w:p>
    <w:p>
      <w:pPr>
        <w:spacing w:before="0" w:after="0"/>
        <w:ind w:left="120"/>
        <w:jc w:val="both"/>
      </w:pPr>
      <w:r>
        <w:rPr>
          <w:rFonts w:ascii="Times New Roman" w:hAnsi="Times New Roman"/>
          <w:b w:val="false"/>
          <w:i w:val="false"/>
          <w:color w:val="000000"/>
          <w:sz w:val="22"/>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provided by a hospice other than the hospice designated by the individual unless provided under arrangements made by the designated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Curative antiviral drugs targeted at the human immunodeficiency virus for the treatment of AIDS.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78.36(2)</w:t>
      </w:r>
      <w:r>
        <w:rPr>
          <w:rFonts w:ascii="Times New Roman" w:hAnsi="Times New Roman"/>
          <w:b w:val="false"/>
          <w:i w:val="false"/>
          <w:color w:val="000000"/>
          <w:sz w:val="22"/>
        </w:rPr>
        <w:t> </w:t>
      </w:r>
      <w:r>
        <w:rPr>
          <w:rFonts w:ascii="Times New Roman" w:hAnsi="Times New Roman"/>
          <w:b w:val="false"/>
          <w:i/>
          <w:color w:val="000000"/>
          <w:sz w:val="22"/>
        </w:rPr>
        <w:t xml:space="preserve">Categories of care. </w:t>
      </w:r>
      <w:r>
        <w:rPr>
          <w:rFonts w:ascii="Times New Roman" w:hAnsi="Times New Roman"/>
          <w:b w:val="false"/>
          <w:i w:val="false"/>
          <w:color w:val="000000"/>
          <w:sz w:val="22"/>
        </w:rPr>
        <w:t>Hospice care entails the following four categories of daily care. Guidelines for core and other services must be adhered to for all categories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home care is care provided in the place of residence that is not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Continuous home care is provided only during a period of crisis when an individual requires continuous care that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 maintenance support and aide services may also be provided to supplement the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inpatient care is provided in periods of acute medical crisis when the individual is hospitalized or in a participating hospice inpatient unit or nursing facility for pain control or acute or chronic symptom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78.36(3)</w:t>
      </w:r>
      <w:r>
        <w:rPr>
          <w:rFonts w:ascii="Times New Roman" w:hAnsi="Times New Roman"/>
          <w:b w:val="false"/>
          <w:i w:val="false"/>
          <w:color w:val="000000"/>
          <w:sz w:val="22"/>
        </w:rPr>
        <w:t> </w:t>
      </w:r>
      <w:r>
        <w:rPr>
          <w:rFonts w:ascii="Times New Roman" w:hAnsi="Times New Roman"/>
          <w:b w:val="false"/>
          <w:i/>
          <w:color w:val="000000"/>
          <w:sz w:val="22"/>
        </w:rPr>
        <w:t xml:space="preserve">Residence in a nursing facility. </w:t>
      </w:r>
      <w:r>
        <w:rPr>
          <w:rFonts w:ascii="Times New Roman" w:hAnsi="Times New Roman"/>
          <w:b w:val="false"/>
          <w:i w:val="false"/>
          <w:color w:val="000000"/>
          <w:sz w:val="22"/>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Medicaid program from a Medicaid-enrolled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78.36(4)</w:t>
      </w:r>
      <w:r>
        <w:rPr>
          <w:rFonts w:ascii="Times New Roman" w:hAnsi="Times New Roman"/>
          <w:b w:val="false"/>
          <w:i w:val="false"/>
          <w:color w:val="000000"/>
          <w:sz w:val="22"/>
        </w:rPr>
        <w:t> </w:t>
      </w:r>
      <w:r>
        <w:rPr>
          <w:rFonts w:ascii="Times New Roman" w:hAnsi="Times New Roman"/>
          <w:b w:val="false"/>
          <w:i/>
          <w:color w:val="000000"/>
          <w:sz w:val="22"/>
        </w:rPr>
        <w:t xml:space="preserve">Approval for hospice benefits. </w:t>
      </w:r>
      <w:r>
        <w:rPr>
          <w:rFonts w:ascii="Times New Roman" w:hAnsi="Times New Roman"/>
          <w:b w:val="false"/>
          <w:i w:val="false"/>
          <w:color w:val="000000"/>
          <w:sz w:val="22"/>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certification process. </w:t>
      </w:r>
      <w:r>
        <w:rPr>
          <w:rFonts w:ascii="Times New Roman" w:hAnsi="Times New Roman"/>
          <w:b w:val="false"/>
          <w:i w:val="false"/>
          <w:color w:val="000000"/>
          <w:sz w:val="22"/>
        </w:rPr>
        <w:t>The hospice must obtain certification that an individual is terminally ill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procedures. </w:t>
      </w:r>
      <w:r>
        <w:rPr>
          <w:rFonts w:ascii="Times New Roman" w:hAnsi="Times New Roman"/>
          <w:b w:val="false"/>
          <w:i w:val="false"/>
          <w:color w:val="000000"/>
          <w:sz w:val="22"/>
        </w:rPr>
        <w:t>Individuals who are dually eligible for Medicare and Medicaid must receive hospice coverage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Election statement. An individual, or individual’s representative, elects to receive the hospice benefit by filing an election statement, the Election of Medicaid Hospice Benefit form, or a Medicare election of hospice benefit form, with a particular hospice. The hospice may provide the individual with another election form to use provided the form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hospice that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Acknowledgment that the recipient has been given a full understanding of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Acknowledgment that the recipient waives the right to regular Medicaid benefits, except for payment to the regular physician and treatment for medical conditions unrelated to the terminal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Acknowledgment that recipients are not responsible for copayment or other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recipient’s Medicaid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designation. An individual may change the designation of the particular hospice from which the individual elects to receive hospice care one time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of election. The election to receive hospice care will be considered to continue until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or the individual’s representative revokes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situation changes so that the individual no longer qualifies for the hospice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hospice elects to terminate the recipient’s enrollment in accordance with the hospice’s established discharge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Revocation. A Revocation of Medicaid Hospice Benefit form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