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441—78.34</w:t>
      </w:r>
      <w:r>
        <w:rPr>
          <w:rFonts w:ascii="Times New Roman" w:hAnsi="Times New Roman"/>
          <w:b/>
          <w:i w:val="false"/>
          <w:color w:val="000000"/>
          <w:sz w:val="22"/>
        </w:rPr>
        <w:t xml:space="preserve">(249A) </w:t>
      </w:r>
      <w:r>
        <w:rPr>
          <w:rFonts w:ascii="Times New Roman" w:hAnsi="Times New Roman"/>
          <w:b/>
          <w:i w:val="false"/>
          <w:color w:val="000000"/>
          <w:sz w:val="22"/>
        </w:rPr>
        <w:t xml:space="preserve">HCBS health and disability waiver services. </w:t>
      </w:r>
      <w:r>
        <w:rPr>
          <w:rFonts w:ascii="Times New Roman" w:hAnsi="Times New Roman"/>
          <w:b w:val="false"/>
          <w:i w:val="false"/>
          <w:color w:val="000000"/>
          <w:sz w:val="22"/>
        </w:rPr>
        <w:t xml:space="preserve">Payment will be approved for the following services to members eligible for HCBS health and disability waiver services as established in </w:t>
      </w:r>
      <w:hyperlink r:id="rId4">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 For the purposes of this rule, “HCBS Provider Manual” means the department’s manual that outlines provider-specific policies applicable to providers of HCBS services. The manual is available on the department’s website. All references to the HCBS Provider Manual herein are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w:t>
      </w:r>
      <w:r>
        <w:rPr>
          <w:rFonts w:ascii="Times New Roman" w:hAnsi="Times New Roman"/>
          <w:b w:val="false"/>
          <w:i w:val="false"/>
          <w:color w:val="000000"/>
          <w:sz w:val="22"/>
        </w:rPr>
        <w:t> </w:t>
      </w:r>
      <w:r>
        <w:rPr>
          <w:rFonts w:ascii="Times New Roman" w:hAnsi="Times New Roman"/>
          <w:b w:val="false"/>
          <w:i/>
          <w:color w:val="000000"/>
          <w:sz w:val="22"/>
        </w:rPr>
        <w:t xml:space="preserve">Home maintenance support services. </w:t>
      </w:r>
      <w:r>
        <w:rPr>
          <w:rFonts w:ascii="Times New Roman" w:hAnsi="Times New Roman"/>
          <w:b w:val="false"/>
          <w:i w:val="false"/>
          <w:color w:val="000000"/>
          <w:sz w:val="22"/>
        </w:rPr>
        <w:t>Home maintenance support services encompass assistance required to maintain the participant’s home as a clean, sanitary, and safe environment, provided when neither the participant nor any household person is capable of performing these tasks and no other relative, caregiver, or landlord is responsible for them. These services are particularly essential when the participant lives alone or when the usual caregiver needs support in performing these functions. “Usual caregiver” means an unpaid person who resides with the member and is available on a 24-hour per-day basis to assume responsibility for the care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These may involve tasks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Essential shopping, such as shopping for basic need items such as food, clothing or personal care items, or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Limited housecleaning, such as maintenance cleaning such as vacuuming, dusting, scrubbing floors, defrosting refrigerators, cleaning stoves, cleaning medical equipment, washing and mending clothes, washing personal items used by the client, and washing dishes.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Window and door maintenance, such as hanging screen windows and doors, replacing window panes, and washing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Minor repairs to walls, floors, stairs, railings,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Heavy cleaning, such as cleaning attics or basements to remove fire hazards, moving heavy furniture, extensive wall washing, floor care or painting and trash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Mowing lawns and removing snow and ice from sidewalks and driveways.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Tree or bush trimming when the tree or bush impairs safe navigation of the exterior of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Pest eradication and one-time cleaning following the pest eradication necessary for the person’s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Excluded services and costs. Services, activities, costs, and time that are not covered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Tree trimming.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Trash burning.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Tree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78.34(2)</w:t>
      </w:r>
      <w:r>
        <w:rPr>
          <w:rFonts w:ascii="Times New Roman" w:hAnsi="Times New Roman"/>
          <w:b w:val="false"/>
          <w:i w:val="false"/>
          <w:color w:val="000000"/>
          <w:sz w:val="22"/>
        </w:rPr>
        <w:t> </w:t>
      </w:r>
      <w:r>
        <w:rPr>
          <w:rFonts w:ascii="Times New Roman" w:hAnsi="Times New Roman"/>
          <w:b w:val="false"/>
          <w:i/>
          <w:color w:val="000000"/>
          <w:sz w:val="22"/>
        </w:rPr>
        <w:t xml:space="preserve">Home health aide services. </w:t>
      </w:r>
      <w:r>
        <w:rPr>
          <w:rFonts w:ascii="Times New Roman" w:hAnsi="Times New Roman"/>
          <w:b w:val="false"/>
          <w:i w:val="false"/>
          <w:color w:val="000000"/>
          <w:sz w:val="22"/>
        </w:rPr>
        <w:t xml:space="preserve">Home health aide services are an extension of the state plan and are personal or direct care services provided to the member in the member’s home that are not otherwise payable under Medicaid as set forth in rule </w:t>
      </w:r>
      <w:hyperlink r:id="rId5">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 unit of service is a visit. A visit is defined as 15 minutes to 120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Components of the service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Observation and reporting of physical or emotional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Helping a member with bath, shampoo, or oral hygiene.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Helping a member with toileting.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Helping a member in and out of bed and with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Helping a member reestablish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Assisting with oral medications ordered by the physician that are ordinarily self-administered.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Performing incidental household services that are essential to the member’s health care at home and are necessary to prevent or postpone institutionalization in order to complete a full unit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some cases, a nurse may provide home health services if the health of the client is such that the agency is unable to place an aide in that situation due to limitations by state law or in the event that the agency’s Medicare certification requirements prohibit the aide from providing the service. It is not permitted for the convenience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Skilled nursing care is not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78.34(3)</w:t>
      </w:r>
      <w:r>
        <w:rPr>
          <w:rFonts w:ascii="Times New Roman" w:hAnsi="Times New Roman"/>
          <w:b w:val="false"/>
          <w:i w:val="false"/>
          <w:color w:val="000000"/>
          <w:sz w:val="22"/>
        </w:rPr>
        <w:t> </w:t>
      </w:r>
      <w:r>
        <w:rPr>
          <w:rFonts w:ascii="Times New Roman" w:hAnsi="Times New Roman"/>
          <w:b w:val="false"/>
          <w:i/>
          <w:color w:val="000000"/>
          <w:sz w:val="22"/>
        </w:rPr>
        <w:t xml:space="preserve">Adult day care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Supports provided during day care are protective oversight, supervision, and support with activities of daily living (ADLs) and instrumental activities of daily living (IADLs). Included are personal care (i.e., ambulation, toileting, feeding, assisting with medications), behavioral support, or intermittent health-related cares not otherwise paid under other waiver or state plan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 (up to four units per day), a half day (1.25 to 4 hours per day), a full day (4.25 to 8 hours per day), or an extended day (8.25 to 12 hours per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78.34(4)</w:t>
      </w:r>
      <w:r>
        <w:rPr>
          <w:rFonts w:ascii="Times New Roman" w:hAnsi="Times New Roman"/>
          <w:b w:val="false"/>
          <w:i w:val="false"/>
          <w:color w:val="000000"/>
          <w:sz w:val="22"/>
        </w:rPr>
        <w:t> </w:t>
      </w:r>
      <w:r>
        <w:rPr>
          <w:rFonts w:ascii="Times New Roman" w:hAnsi="Times New Roman"/>
          <w:b w:val="false"/>
          <w:i/>
          <w:color w:val="000000"/>
          <w:sz w:val="22"/>
        </w:rPr>
        <w:t xml:space="preserve">Nursing care services. </w:t>
      </w:r>
      <w:r>
        <w:rPr>
          <w:rFonts w:ascii="Times New Roman" w:hAnsi="Times New Roman"/>
          <w:b w:val="false"/>
          <w:i w:val="false"/>
          <w:color w:val="000000"/>
          <w:sz w:val="22"/>
        </w:rPr>
        <w:t>Nursing care services are services that are included in the plan of treatment approved by the physician and that are provided by licensed nurses to members in the home and community. The services shall be reasonable and necessary to the treatment of an illness or injury and include all nursing tasks recognized by the Iowa board of nursing. A unit of service is a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78.34(5)</w:t>
      </w:r>
      <w:r>
        <w:rPr>
          <w:rFonts w:ascii="Times New Roman" w:hAnsi="Times New Roman"/>
          <w:b w:val="false"/>
          <w:i w:val="false"/>
          <w:color w:val="000000"/>
          <w:sz w:val="22"/>
        </w:rPr>
        <w:t> </w:t>
      </w:r>
      <w:r>
        <w:rPr>
          <w:rFonts w:ascii="Times New Roman" w:hAnsi="Times New Roman"/>
          <w:b w:val="false"/>
          <w:i/>
          <w:color w:val="000000"/>
          <w:sz w:val="22"/>
        </w:rPr>
        <w:t xml:space="preserve">Respite care services. </w:t>
      </w:r>
      <w:r>
        <w:rPr>
          <w:rFonts w:ascii="Times New Roman" w:hAnsi="Times New Roman"/>
          <w:b w:val="false"/>
          <w:i w:val="false"/>
          <w:color w:val="000000"/>
          <w:sz w:val="22"/>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provided outside the member’s home shall not be reimbursable if the living unit where respite is provided is reserved for another person on a temporary leave of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Member-to-staff ratios shall be appropriate to the individual needs of the member as determined by the member’s interdisciplinary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Respite care is not to be provided to members during the hours in which the usual caregiver is employed except when the member is attending a 24-hour residential camp. Respite care shall not be used as a substitute for a child’s day care. Respite cannot be provided to a member whose usual caregiver is an attendant care or supported community living provider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interdisciplinary team shall determine if the member will receive basic individual respite, specialized respite, or group respite as defined in </w:t>
      </w:r>
      <w:hyperlink r:id="rId6">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maximum of 14 consecutive days of 24-hour respite care may be reimbursed.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Respite services shall not be provided simultaneously with other residential, nursing, or home health aide services provided through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78.34(6)</w:t>
      </w:r>
      <w:r>
        <w:rPr>
          <w:rFonts w:ascii="Times New Roman" w:hAnsi="Times New Roman"/>
          <w:b w:val="false"/>
          <w:i w:val="false"/>
          <w:color w:val="000000"/>
          <w:sz w:val="22"/>
        </w:rPr>
        <w:t> </w:t>
      </w:r>
      <w:r>
        <w:rPr>
          <w:rFonts w:ascii="Times New Roman" w:hAnsi="Times New Roman"/>
          <w:b w:val="false"/>
          <w:i/>
          <w:color w:val="000000"/>
          <w:sz w:val="22"/>
        </w:rPr>
        <w:t xml:space="preserve">Counseling services. </w:t>
      </w:r>
      <w:r>
        <w:rPr>
          <w:rFonts w:ascii="Times New Roman" w:hAnsi="Times New Roman"/>
          <w:b w:val="false"/>
          <w:i w:val="false"/>
          <w:color w:val="000000"/>
          <w:sz w:val="22"/>
        </w:rPr>
        <w:t xml:space="preserve">Counseling services are face-to-face mental health and substance use disorder services provided to the member and caregiver by a mental health professional as defined in rule </w:t>
      </w:r>
      <w:hyperlink r:id="rId8">
        <w:r>
          <w:rPr>
            <w:rStyle w:val="Hyperlink"/>
            <w:rFonts w:ascii="Times New Roman" w:hAnsi="Times New Roman"/>
            <w:b w:val="false"/>
            <w:i w:val="false"/>
            <w:color w:val="000000"/>
            <w:sz w:val="22"/>
          </w:rPr>
          <w:t>441—24.1</w:t>
        </w:r>
      </w:hyperlink>
      <w:r>
        <w:rPr>
          <w:rFonts w:ascii="Times New Roman" w:hAnsi="Times New Roman"/>
          <w:b w:val="false"/>
          <w:i w:val="false"/>
          <w:color w:val="000000"/>
          <w:sz w:val="22"/>
        </w:rPr>
        <w:t>(225A) to facilitate home management of the member and prevent institutionalization. Counseling services are nonpsychiatric services necessary for the management of depression, assistance with the grief process, alleviation of psychosocial isolation and support in coping with a disability or illness, including terminal illness. Counseling services may be provided both for the purpose of training the member’s family or other caregiver to provide care and for the purpose of helping the member and those caring for the member to adjust to the member’s disability or terminal condition. Counseling services may be provided to the member’s caregiver only when included in the case plan for the member.</w:t>
      </w:r>
    </w:p>
    <w:p>
      <w:pPr>
        <w:spacing w:before="0" w:after="0"/>
        <w:ind w:left="120"/>
        <w:jc w:val="both"/>
      </w:pPr>
      <w:r>
        <w:rPr>
          <w:rFonts w:ascii="Times New Roman" w:hAnsi="Times New Roman"/>
          <w:b w:val="false"/>
          <w:i w:val="false"/>
          <w:color w:val="000000"/>
          <w:sz w:val="22"/>
        </w:rPr>
        <w:t>Payment will be made for individual and group counseling. A unit of individual counseling for the waiver member or the waiver member and the member’s caregiver is 15 minutes. A unit of group counseling is 15 minutes. Payment for group counseling is based on the group rate divided by six, or, if the number of persons who comprise the group exceeds six, the actual number of persons who comprise the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78.34(7)</w:t>
      </w:r>
      <w:r>
        <w:rPr>
          <w:rFonts w:ascii="Times New Roman" w:hAnsi="Times New Roman"/>
          <w:b w:val="false"/>
          <w:i w:val="false"/>
          <w:color w:val="000000"/>
          <w:sz w:val="22"/>
        </w:rPr>
        <w:t> </w:t>
      </w:r>
      <w:r>
        <w:rPr>
          <w:rFonts w:ascii="Times New Roman" w:hAnsi="Times New Roman"/>
          <w:b w:val="false"/>
          <w:i/>
          <w:color w:val="000000"/>
          <w:sz w:val="22"/>
        </w:rPr>
        <w:t xml:space="preserve">Attendant care service. </w:t>
      </w:r>
      <w:r>
        <w:rPr>
          <w:rFonts w:ascii="Times New Roman" w:hAnsi="Times New Roman"/>
          <w:b w:val="false"/>
          <w:i w:val="false"/>
          <w:color w:val="000000"/>
          <w:sz w:val="22"/>
        </w:rPr>
        <w:t xml:space="preserve">Attendant care services are service activities performed by a person to help a member with self-care tasks that the member would typically do independently if the member were otherwise able. Covered service activities are limited to the nonskilled activities listed in paragraph </w:t>
      </w:r>
      <w:hyperlink r:id="rId9">
        <w:r>
          <w:rPr>
            <w:rStyle w:val="Hyperlink"/>
            <w:rFonts w:ascii="Times New Roman" w:hAnsi="Times New Roman"/>
            <w:b w:val="false"/>
            <w:i w:val="false"/>
            <w:color w:val="000000"/>
            <w:sz w:val="22"/>
          </w:rPr>
          <w:t>78.34(7)</w:t>
        </w:r>
        <w:r>
          <w:rPr>
            <w:rFonts w:ascii="Times New Roman" w:hAnsi="Times New Roman"/>
            <w:b w:val="false"/>
            <w:i/>
            <w:color w:val="000000"/>
            <w:sz w:val="22"/>
          </w:rPr>
          <w:t>“f”</w:t>
        </w:r>
      </w:hyperlink>
      <w:r>
        <w:rPr>
          <w:rFonts w:ascii="Times New Roman" w:hAnsi="Times New Roman"/>
          <w:b w:val="false"/>
          <w:i w:val="false"/>
          <w:color w:val="000000"/>
          <w:sz w:val="22"/>
        </w:rPr>
        <w:t xml:space="preserve"> and the skilled activities listed in paragraph </w:t>
      </w:r>
      <w:hyperlink r:id="rId10">
        <w:r>
          <w:rPr>
            <w:rStyle w:val="Hyperlink"/>
            <w:rFonts w:ascii="Times New Roman" w:hAnsi="Times New Roman"/>
            <w:b w:val="false"/>
            <w:i w:val="false"/>
            <w:color w:val="000000"/>
            <w:sz w:val="22"/>
          </w:rPr>
          <w:t>78.34(7)</w:t>
        </w:r>
        <w:r>
          <w:rPr>
            <w:rFonts w:ascii="Times New Roman" w:hAnsi="Times New Roman"/>
            <w:b w:val="false"/>
            <w:i/>
            <w:color w:val="000000"/>
            <w:sz w:val="22"/>
          </w:rPr>
          <w:t>“g.”</w:t>
        </w:r>
      </w:hyperlink>
      <w:r>
        <w:rPr>
          <w:rFonts w:ascii="Times New Roman" w:hAnsi="Times New Roman"/>
          <w:b w:val="false"/>
          <w:i w:val="false"/>
          <w:color w:val="000000"/>
          <w:sz w:val="22"/>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parent, guardian, or attorney in fact under a durable power of attorney for health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Select the individual or agency that will provide the components of the attendant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sign, and date an HCBS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legal representative acts as a provider of attendant care as allowed by </w:t>
      </w:r>
      <w:hyperlink r:id="rId11">
        <w:r>
          <w:rPr>
            <w:rStyle w:val="Hyperlink"/>
            <w:rFonts w:ascii="Times New Roman" w:hAnsi="Times New Roman"/>
            <w:b w:val="false"/>
            <w:i w:val="false"/>
            <w:color w:val="000000"/>
            <w:sz w:val="22"/>
          </w:rPr>
          <w:t>441—paragraph 79.10(7)</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following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legal representative may not be paid for more than 40 hours of service per week;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contingency plan must be established in the member’s service plan to ensure service delivery in the event the legal representative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of skilled services. </w:t>
      </w:r>
      <w:r>
        <w:rPr>
          <w:rFonts w:ascii="Times New Roman" w:hAnsi="Times New Roman"/>
          <w:b w:val="false"/>
          <w:i w:val="false"/>
          <w:color w:val="000000"/>
          <w:sz w:val="22"/>
        </w:rPr>
        <w:t>Skilled attendant care services shall be provided under the supervision of the member’s physician or a licensed nurse or licensed therapist working under the direction of the member’s physician. The licensed nurse or therapist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Retain accountability for actions that are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appropriate assessment, planning, implementation,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Make on-site supervisory visits every two weeks with the service provider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r>
        <w:rPr>
          <w:rFonts w:ascii="Times New Roman" w:hAnsi="Times New Roman"/>
          <w:b w:val="false"/>
          <w:i w:val="false"/>
          <w:color w:val="000000"/>
          <w:sz w:val="22"/>
        </w:rPr>
        <w:t xml:space="preserve">The attendant care provider shall document evidence of compliance with the requirements of this chapter and rule </w:t>
      </w:r>
      <w:hyperlink r:id="rId12">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The documentation or copies of the documentation must be maintained or be electronically accessible by the provider. Providers must use an electronic visit verification system that captures all documentation requirements of the Attendant Care Service Record or use a form prescribed by the department. Any service component that is not documented in accordance with rule </w:t>
      </w:r>
      <w:hyperlink r:id="rId13">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will not be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Role of guardian or attorney. </w:t>
      </w:r>
      <w:r>
        <w:rPr>
          <w:rFonts w:ascii="Times New Roman" w:hAnsi="Times New Roman"/>
          <w:b w:val="false"/>
          <w:i w:val="false"/>
          <w:color w:val="000000"/>
          <w:sz w:val="22"/>
        </w:rPr>
        <w:t>If the member has a guardian or attorney in fact under a durable power of attorney for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 worker’s or case manager’s service plan shall address how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guardian or attorney in fact shall sign the claim form in place of the member, indicating that the service has been provided as presented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Service units and billing. </w:t>
      </w:r>
      <w:r>
        <w:rPr>
          <w:rFonts w:ascii="Times New Roman" w:hAnsi="Times New Roman"/>
          <w:b w:val="false"/>
          <w:i w:val="false"/>
          <w:color w:val="000000"/>
          <w:sz w:val="22"/>
        </w:rPr>
        <w:t>A unit of service is 15 minutes provided by an agency. Each service shall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Nonskilled services. </w:t>
      </w:r>
      <w:r>
        <w:rPr>
          <w:rFonts w:ascii="Times New Roman" w:hAnsi="Times New Roman"/>
          <w:b w:val="false"/>
          <w:i w:val="false"/>
          <w:color w:val="000000"/>
          <w:sz w:val="22"/>
        </w:rPr>
        <w:t>Covered nonskilled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Bathing, shampooing, hygiene, and grooming.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 to and from bed or a wheelchair, transferring, ambulation, and mobility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Toileting, including bowel, bladder, and catheter assistance (emptying the catheter bag, collecting a specimen, and cleaning the external area around the catheter).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Meal preparation, cooking, and assistance with feeding, not including the cost of meals themselves. Meal preparation and cooking shall be provided only in the member’s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Housekeeping, laundry, and shopping essential to the member’s health care at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Taking medications ordinarily self-administered, including those ordered by a physician or other qualified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Minor wound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Going to or returning from a place of employment and job-related tasks while the member is on the job site. Transportation for the member and assistance with understanding or performing the essential job functions are not included in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Tasks, such as financial management and scheduling, that require cognitive or physical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Communication essential to the health and welfare of the member, through interpreting and reading services and use of assistive devices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Using transportation essential to the health and welfare of the member. The cost of the transportation is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Skilled services. </w:t>
      </w:r>
      <w:r>
        <w:rPr>
          <w:rFonts w:ascii="Times New Roman" w:hAnsi="Times New Roman"/>
          <w:b w:val="false"/>
          <w:i w:val="false"/>
          <w:color w:val="000000"/>
          <w:sz w:val="22"/>
        </w:rPr>
        <w:t>Covered skilled attendant care service activities are limited to help with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Tube feedings of members unable to eat solid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Intravenous therapy administered by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Parenteral injections required more than once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Catheterizations, continuing care of indwelling catheters with supervision of irrigations, and changing of Foley catheters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Respiratory care including inhalation therapy and tracheotomy care or tracheotomy care and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Care of decubiti and other ulcerated areas, noting and reporting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Colostomy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Care of uncontrolled medical conditions, such as brittle diabetes, and comfort care of terminal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Postsurgical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medications requiring close supervision because of fluctuating physical or psychological conditions, e.g., antihypertensives, digitalis preparations, mood-altering or psychotropic drugs, or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Preparing and monitoring response to therapeutic diets.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Recording and reporting of changes in vital signs to the nurse or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and costs. </w:t>
      </w:r>
      <w:r>
        <w:rPr>
          <w:rFonts w:ascii="Times New Roman" w:hAnsi="Times New Roman"/>
          <w:b w:val="false"/>
          <w:i w:val="false"/>
          <w:color w:val="000000"/>
          <w:sz w:val="22"/>
        </w:rPr>
        <w:t>Services, activities, costs and time that are not covered as attendant care include the following (not an exclusive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activity related to supervising a member. Only direct services are billable.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activity that the member is able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Exercise that does not require skilled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Parenting or child care for or on behalf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Reminders and cueing.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Services provided simultaneously with any other similar service regardless of funding source, including other waiver services and state supplementary assistance in-home health-related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Transportation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Wait times for any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78.34(8)</w:t>
      </w:r>
      <w:r>
        <w:rPr>
          <w:rFonts w:ascii="Times New Roman" w:hAnsi="Times New Roman"/>
          <w:b w:val="false"/>
          <w:i w:val="false"/>
          <w:color w:val="000000"/>
          <w:sz w:val="22"/>
        </w:rPr>
        <w:t> </w:t>
      </w:r>
      <w:r>
        <w:rPr>
          <w:rFonts w:ascii="Times New Roman" w:hAnsi="Times New Roman"/>
          <w:b w:val="false"/>
          <w:i/>
          <w:color w:val="000000"/>
          <w:sz w:val="22"/>
        </w:rPr>
        <w:t xml:space="preserve">Interim medical monitoring and treatment services. </w:t>
      </w:r>
      <w:r>
        <w:rPr>
          <w:rFonts w:ascii="Times New Roman" w:hAnsi="Times New Roman"/>
          <w:b w:val="false"/>
          <w:i w:val="false"/>
          <w:color w:val="000000"/>
          <w:sz w:val="22"/>
        </w:rPr>
        <w:t>Interim medical monitoring and treatment (IMMT) services are monitoring and treatment of a medical nature requiring specially trained caregivers beyond what is normally available in a day care setting for medical needs that make alternative care unavailable, inadequate, or insufficient. IMMT services are not intended to provide day care but to supplement available resources. Services must be ordered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Need for service. The member must be currently receiving home health agency services under rule </w:t>
      </w:r>
      <w:hyperlink r:id="rId14">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and require medical assessment, medical monitoring, and regular medical intervention or intervention in a medical emergency during those services. The case manager must identify the need for IMMT services after evaluating the member’s living environment, family and natural supports, ability to perform activities of daily living, and health care needs. The services must be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allow the member’s usual caregivers to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a search for employment by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allow for academic or vocational training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Due to the hospitalization of a usual caregiver for treatment for physical or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Due to the death of a usual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requirements. Interim medical monitoring and treatment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experiences for each member’s social, emotional, intellectual, and physical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comprehensive developmental care and any special services for a member with special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medical assessment, medical monitoring, and medical intervention as needed on a regular or emergency basis. Medical intervention means the ability to assess the situation and contact the appropriate medical professional, not the direct application of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may include supervision while the member is being transported to and from school or work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maximum of 12 hours of service is available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Covered services do not include a complete nutritional regimen.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Interim medical monitoring and treatment services may not duplicate any regular Medicaid or waiver services provided under the state plan. Services under the state plan, including home health agency services under rule </w:t>
      </w:r>
      <w:hyperlink r:id="rId15">
        <w:r>
          <w:rPr>
            <w:rStyle w:val="Hyperlink"/>
            <w:rFonts w:ascii="Times New Roman" w:hAnsi="Times New Roman"/>
            <w:b w:val="false"/>
            <w:i w:val="false"/>
            <w:color w:val="000000"/>
            <w:sz w:val="22"/>
          </w:rPr>
          <w:t>441—78.9</w:t>
        </w:r>
      </w:hyperlink>
      <w:r>
        <w:rPr>
          <w:rFonts w:ascii="Times New Roman" w:hAnsi="Times New Roman"/>
          <w:b w:val="false"/>
          <w:i w:val="false"/>
          <w:color w:val="000000"/>
          <w:sz w:val="22"/>
        </w:rPr>
        <w:t>(249A), must be exhausted before IMMT services are accessed.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Interim medical monitoring and treatment services shall be provided in the following settings that are approved by the department as integrated, community-based settings: the member’s home; a registered child development home; a licensed child care center, residential care facility, or adult day care facility; or during the time when the member is being transported to and from school or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member-to-staff ratio shall not be more than six members to one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the member shall be responsible for the usual and customary nonmedical cost of day care during the time in which the member is receiving IMMT services. Medical care necessary for monitoring and treatment is an allowable IMMT cost. If the cost of care goes above the usual and customary cost of day care services due to the member’s medical condition, the costs above the usual and customary cost will be covered as IMMT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78.34(9)</w:t>
      </w:r>
      <w:r>
        <w:rPr>
          <w:rFonts w:ascii="Times New Roman" w:hAnsi="Times New Roman"/>
          <w:b w:val="false"/>
          <w:i w:val="false"/>
          <w:color w:val="000000"/>
          <w:sz w:val="22"/>
        </w:rPr>
        <w:t> </w:t>
      </w:r>
      <w:r>
        <w:rPr>
          <w:rFonts w:ascii="Times New Roman" w:hAnsi="Times New Roman"/>
          <w:b w:val="false"/>
          <w:i/>
          <w:color w:val="000000"/>
          <w:sz w:val="22"/>
        </w:rPr>
        <w:t xml:space="preserve">Home and vehicle modification. </w:t>
      </w:r>
      <w:r>
        <w:rPr>
          <w:rFonts w:ascii="Times New Roman" w:hAnsi="Times New Roman"/>
          <w:b w:val="false"/>
          <w:i w:val="false"/>
          <w:color w:val="000000"/>
          <w:sz w:val="22"/>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following modifications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Kitchen counters, sink space, cabinets, special adaptations to refrigerators, stoves, and ovens.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Bathtubs and toilets to accommodate transfer, special handles and hoses for shower heads, water faucet controls, and accessible showers and sink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Grab bars and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Turnaround space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Ramps, lifts, and door, hall and window widening.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Fire safety alarm equipment specific for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Voice-activated, sound-activated, light-activated, motion-activated, and electronic devices directly related to the member’s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Vehicle lifts, driver-specific adaptations, remote-start systems, including such modifications already installed in a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Keyless entry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Automatic opening device for home or vehicle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Special door and window locks.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Specialized doorknobs and handles.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Plexiglas replacement for glass windows.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Modification of existing stairs to widen, lower, raise or enclose open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Motion detectors.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Low-pile carpeting or slip-resistant flooring.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Telecommunications device for the deaf or hard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Exterior hard-surface pathways.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New door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Pocket 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Installation or relocation of controls, outlets,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Air conditioning and air filtering if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Heightening of existing garage door opening to accommodate modified van.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Bath chairs.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the completion of needed modifications or adaptations.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modifications and adaptations shall be provided in accordance with applicable federal, state, and local building and vehicle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shall be performed following prior department approval of the modification as specified in </w:t>
      </w:r>
      <w:hyperlink r:id="rId16">
        <w:r>
          <w:rPr>
            <w:rStyle w:val="Hyperlink"/>
            <w:rFonts w:ascii="Times New Roman" w:hAnsi="Times New Roman"/>
            <w:b w:val="false"/>
            <w:i w:val="false"/>
            <w:color w:val="000000"/>
            <w:sz w:val="22"/>
          </w:rPr>
          <w:t>441—subrule 79.1(17)</w:t>
        </w:r>
      </w:hyperlink>
      <w:r>
        <w:rPr>
          <w:rFonts w:ascii="Times New Roman" w:hAnsi="Times New Roman"/>
          <w:b w:val="false"/>
          <w:i w:val="false"/>
          <w:color w:val="000000"/>
          <w:sz w:val="22"/>
        </w:rPr>
        <w:t xml:space="preserve"> and a binding contract between the provider and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Service payment will be made to the enrolled home or vehicle modification provider. If applicable, payment will be forwarded to the subcontracting agency by the enrolled home or vehicle modification provider following completion of the approved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Services shall be included in the member’s service plan and shall exceed the Medicaid state plan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Payment for home and vehicle modifications are limited to the service limitations published on the Iowa Medicaid fee schedule webpage.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78.34(10)</w:t>
      </w:r>
      <w:r>
        <w:rPr>
          <w:rFonts w:ascii="Times New Roman" w:hAnsi="Times New Roman"/>
          <w:b w:val="false"/>
          <w:i w:val="false"/>
          <w:color w:val="000000"/>
          <w:sz w:val="22"/>
        </w:rPr>
        <w:t> </w:t>
      </w:r>
      <w:r>
        <w:rPr>
          <w:rFonts w:ascii="Times New Roman" w:hAnsi="Times New Roman"/>
          <w:b w:val="false"/>
          <w:i/>
          <w:color w:val="000000"/>
          <w:sz w:val="22"/>
        </w:rPr>
        <w:t xml:space="preserve">Personal emergency response or portable locator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personal emergency response system is an electronic device that transmits a signal to a central monitoring station to summon assistance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system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in-home medical communications transceiver.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remote, portable activator.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central monitoring station with backup systems staffed by trained attendants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data files at the central monitoring station containing response protocols and personal, medical, and emergency information for each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one-time installation fee or one month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will be the initial installation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required components of the portable locator system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portable communications transceiver or transmitter to be worn or carried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Monitoring by the provider at a central location with response protocols and personal, medical, and emergency information for each member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 shall be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Payable units of service are purchase of equipment, an installation or set-up fee, and monthly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Maximum units per state fiscal year will be one equipment purchase, one installation or set-up fee, and 12 months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78.34(11)</w:t>
      </w:r>
      <w:r>
        <w:rPr>
          <w:rFonts w:ascii="Times New Roman" w:hAnsi="Times New Roman"/>
          <w:b w:val="false"/>
          <w:i w:val="false"/>
          <w:color w:val="000000"/>
          <w:sz w:val="22"/>
        </w:rPr>
        <w:t> </w:t>
      </w:r>
      <w:r>
        <w:rPr>
          <w:rFonts w:ascii="Times New Roman" w:hAnsi="Times New Roman"/>
          <w:b w:val="false"/>
          <w:i/>
          <w:color w:val="000000"/>
          <w:sz w:val="22"/>
        </w:rPr>
        <w:t xml:space="preserve">Home-delivered meals. </w:t>
      </w:r>
      <w:r>
        <w:rPr>
          <w:rFonts w:ascii="Times New Roman" w:hAnsi="Times New Roman"/>
          <w:b w:val="false"/>
          <w:i w:val="false"/>
          <w:color w:val="000000"/>
          <w:sz w:val="22"/>
        </w:rPr>
        <w:t>Home-delivered meals are meals prepared elsewhere and delivered to a member at the member’s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meal shall ensure the member receives a minimum of one-third of the daily recommended dietary allowance as established by the Food and Nutrition Board of the National Research Council of the National Academies of Sciences, Engineering, and Medicine. The meal may also be a liquid supplement that meets the minimum one-third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restaurant provides the home-delivered meal, the member is required to have a nutritional consultation. The nutritional consultation includes contact with the restaurant to explain the dietary needs of the member and what constitutes the minimum one-third daily dietary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unit of service is a meal (morning, noon, evening, or liquid supplement). Any maximum combination of any two meals (morning, noon, evening, or liquid supplement) is allowed per day. Duplication of a meal in any one day is not allowed. The number of approved meals (morning, noon, evening, or liquid supplement) is contained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meals delivered for any morning, noon, evening, or liquid supplement meal cannot exceed the number of calendar days in a calendar month; nor can the number of delivered meals exceed the number of authorized days in a month. Meals billed in excess of the calendar days in a calendar month and those billed in excess of the number of authorized days in a month are subject to recoupment or denial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78.34(12)</w:t>
      </w:r>
      <w:r>
        <w:rPr>
          <w:rFonts w:ascii="Times New Roman" w:hAnsi="Times New Roman"/>
          <w:b w:val="false"/>
          <w:i w:val="false"/>
          <w:color w:val="000000"/>
          <w:sz w:val="22"/>
        </w:rPr>
        <w:t> </w:t>
      </w:r>
      <w:r>
        <w:rPr>
          <w:rFonts w:ascii="Times New Roman" w:hAnsi="Times New Roman"/>
          <w:b w:val="false"/>
          <w:i/>
          <w:color w:val="000000"/>
          <w:sz w:val="22"/>
        </w:rPr>
        <w:t xml:space="preserve">Nutritional counseling. </w:t>
      </w:r>
      <w:r>
        <w:rPr>
          <w:rFonts w:ascii="Times New Roman" w:hAnsi="Times New Roman"/>
          <w:b w:val="false"/>
          <w:i w:val="false"/>
          <w:color w:val="000000"/>
          <w:sz w:val="22"/>
        </w:rPr>
        <w:t>Nutritional counseling services may be provided for a nutritional problem or condition of such a degree of severity that nutritional counseling beyond that normally expected as part of the standard medical management is warranted. A unit of service is 15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78.34(13)</w:t>
      </w:r>
      <w:r>
        <w:rPr>
          <w:rFonts w:ascii="Times New Roman" w:hAnsi="Times New Roman"/>
          <w:b w:val="false"/>
          <w:i w:val="false"/>
          <w:color w:val="000000"/>
          <w:sz w:val="22"/>
        </w:rPr>
        <w:t> </w:t>
      </w:r>
      <w:r>
        <w:rPr>
          <w:rFonts w:ascii="Times New Roman" w:hAnsi="Times New Roman"/>
          <w:b w:val="false"/>
          <w:i/>
          <w:color w:val="000000"/>
          <w:sz w:val="22"/>
        </w:rPr>
        <w:t xml:space="preserve">Consumer choices option. </w:t>
      </w:r>
      <w:r>
        <w:rPr>
          <w:rFonts w:ascii="Times New Roman" w:hAnsi="Times New Roman"/>
          <w:b w:val="false"/>
          <w:i w:val="false"/>
          <w:color w:val="000000"/>
          <w:sz w:val="22"/>
        </w:rPr>
        <w:t xml:space="preserve">The consumer choices option (CCO) provides a member with a flexible monthly individual budget that is based on the member’s service needs. With the individual budget, the member shall have the authority to purchase goods and services to meet the member’s assessed needs and may choose to employ providers of services and supports. The services, supports, and items that are purchased with an individual budget must be directly related to a member’s assessed need or goal established in the member’s service plan. The CCO is available to any member receiving the AIDS/HIV, brain injury, elderly, health and disability, intellectual disability, or physical disability waiver programs who has the ability and desire to perform all budget authority tasks identified in paragraph </w:t>
      </w:r>
      <w:hyperlink r:id="rId17">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employer authority tasks identified in paragraph </w:t>
      </w:r>
      <w:hyperlink r:id="rId18">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“h,”</w:t>
      </w:r>
      <w:r>
        <w:rPr>
          <w:rFonts w:ascii="Times New Roman" w:hAnsi="Times New Roman"/>
          <w:b w:val="false"/>
          <w:i w:val="false"/>
          <w:color w:val="000000"/>
          <w:sz w:val="22"/>
        </w:rPr>
        <w:t xml:space="preserve"> or who delegates the budget or employer authority tasks identified in paragraph </w:t>
      </w:r>
      <w:hyperlink r:id="rId19">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“i.”</w:t>
      </w:r>
      <w:r>
        <w:rPr>
          <w:rFonts w:ascii="Times New Roman" w:hAnsi="Times New Roman"/>
          <w:b w:val="false"/>
          <w:i w:val="false"/>
          <w:color w:val="000000"/>
          <w:sz w:val="22"/>
        </w:rPr>
        <w:t xml:space="preserve"> Components of this service are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As a condition of participating in the CCO, a member shall sign the HCBS Consumer Choices Informed Consent and Risk Agreement to document that the member has been informed of the responsibilities and risks of electing the CCO.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budget amount. </w:t>
      </w:r>
      <w:r>
        <w:rPr>
          <w:rFonts w:ascii="Times New Roman" w:hAnsi="Times New Roman"/>
          <w:b w:val="false"/>
          <w:i w:val="false"/>
          <w:color w:val="000000"/>
          <w:sz w:val="22"/>
        </w:rPr>
        <w:t>A monthly individual budget amount shall be established for each member based on the assessed needs of the member and based on the services and supports authorized in the member’s service plan. The member shall be informed of the individual budget amount during the development of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that may be included in determining the individual budget amount for a member in the HCBS health and disability, elderly, AIDS/HIV, brain injury, and physical disability waivers are outlined in the HCBS Waiver Provider Manual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an average unit cost for each service outlined in the HCBS Provider Manual based on actual unit costs from the previous fiscal year plus a cost-of-living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aggregate, costs for individual budget services shall not exceed the current costs of waiver program services. In order to maintain cost neutrality, the department will apply a utilization adjustment factor to the amount of service authorized in the member’s service plan before calculating the value of that service to be included in the individual budget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will compute the utilization adjustment factor for each service by dividing the net costs of all claims paid for the service by the total of the authorized costs for that service, using at least 12 consecutive months of aggregate service data. The utilization adjustment factor will be no lower than 60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 budgets for respite services will be computed based on the average cost for services outlined in the HCBS Provider Manual. Respite services are not subject to the utilization adjustment factor in subparagraph </w:t>
      </w:r>
      <w:hyperlink r:id="rId20">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Anticipated costs for home and vehicle modification, assistive devices, and specialized medical equipment are not subject to the average cost in subparagraph </w:t>
      </w:r>
      <w:hyperlink r:id="rId21">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“b”</w:t>
      </w:r>
      <w:r>
        <w:rPr>
          <w:rFonts w:ascii="Times New Roman" w:hAnsi="Times New Roman"/>
          <w:b w:val="false"/>
          <w:i w:val="false"/>
          <w:color w:val="000000"/>
          <w:sz w:val="22"/>
        </w:rPr>
        <w:t xml:space="preserve">(2) or the utilization adjustment factor in subparagraph </w:t>
      </w:r>
      <w:hyperlink r:id="rId22">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“b”</w:t>
      </w:r>
      <w:r>
        <w:rPr>
          <w:rFonts w:ascii="Times New Roman" w:hAnsi="Times New Roman"/>
          <w:b w:val="false"/>
          <w:i w:val="false"/>
          <w:color w:val="000000"/>
          <w:sz w:val="22"/>
        </w:rPr>
        <w:t>(3). The anticipated costs may include the costs of the financial management services and the independent support broker when the home and vehicle modification, assistive device, or specialized medical equipment is the only service included in the CCO monthly budget and the total cost for the home and vehicle modification, assistive device, or specialized medical equipment, including the cost of the financial management services and the independent support broker, is approved by Iowa Medicaid or the MCO as the least costly option to meet the member’s need. Costs for the home and vehicle modification, assistive device, or specialized medical equipment may be paid to the financial management services provider in a one-time payment. Before becoming part of the CCO monthly budget, all home and vehicle modifications, assistive device, and specialized medical equipment shall be identified in the member’s service plan and authorized by the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individual budget amount may be changed only at the first of the month and shall remain fixed for the entire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Required service components. </w:t>
      </w:r>
      <w:r>
        <w:rPr>
          <w:rFonts w:ascii="Times New Roman" w:hAnsi="Times New Roman"/>
          <w:b w:val="false"/>
          <w:i w:val="false"/>
          <w:color w:val="000000"/>
          <w:sz w:val="22"/>
        </w:rPr>
        <w:t xml:space="preserve">To participate in the CCO, a member must choose to hire an independent support broker and must work with a financial management service that is enrolled as a Medicaid provider. Before hiring the independent support broker, the member shall receive the results of the background check conducted pursuant to </w:t>
      </w:r>
      <w:hyperlink r:id="rId23">
        <w:r>
          <w:rPr>
            <w:rStyle w:val="Hyperlink"/>
            <w:rFonts w:ascii="Times New Roman" w:hAnsi="Times New Roman"/>
            <w:b w:val="false"/>
            <w:i w:val="false"/>
            <w:color w:val="000000"/>
            <w:sz w:val="22"/>
          </w:rPr>
          <w:t>441—Chapter 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Optional service components. </w:t>
      </w:r>
      <w:r>
        <w:rPr>
          <w:rFonts w:ascii="Times New Roman" w:hAnsi="Times New Roman"/>
          <w:b w:val="false"/>
          <w:i w:val="false"/>
          <w:color w:val="000000"/>
          <w:sz w:val="22"/>
        </w:rPr>
        <w:t>A member who elects the CCO may purchase the following goods, services and supports, which shall be provided in the member’s home or at an integrated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Self-directed personal care services. Self-directed personal care services are services that provide a range of assistance in activities of daily living and incidental activities of daily living that help the member remain in the home and community. These services must be identified in the member’s service plan developed by the member’s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Self-directed community supports and employment. Self-directed community supports and employment are services that support the member in developing and maintaining independence and community integration. These services must be identified in the member’s service plan developed by the member’s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Individual-directed goods and services. Individual-directed goods and services are services, equipment, or supplies not otherwise provided through the Medicaid program that address an assessed need or goal identified in the member’s service plan. The item or service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Promote opportunities for community living and inclusion.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Increase independence or substitute for human assistance, to the extent the expenditures would otherwise be made for that human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accommodated within the member’s budget without compromising the member’s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provided to the member or directed exclusively toward the benefit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the least costly to meet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 be available through another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Development of the individual budget. </w:t>
      </w:r>
      <w:r>
        <w:rPr>
          <w:rFonts w:ascii="Times New Roman" w:hAnsi="Times New Roman"/>
          <w:b w:val="false"/>
          <w:i w:val="false"/>
          <w:color w:val="000000"/>
          <w:sz w:val="22"/>
        </w:rPr>
        <w:t>The independent support broker shall assist the member in developing and implementing the member’s individual budget. The individual budget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costs of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costs of the independent support broker. The independent support broker may be compensated for up to 6 hours of service for assisting with the implementation of the initial individual budget. The independent support broker shall not be paid for more than 30 hours of service for an individual member during a 12-month period without prior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of any optional service component chosen by the member as described in paragraph </w:t>
      </w:r>
      <w:hyperlink r:id="rId24">
        <w:r>
          <w:rPr>
            <w:rStyle w:val="Hyperlink"/>
            <w:rFonts w:ascii="Times New Roman" w:hAnsi="Times New Roman"/>
            <w:b w:val="false"/>
            <w:i w:val="false"/>
            <w:color w:val="000000"/>
            <w:sz w:val="22"/>
          </w:rPr>
          <w:t>78.34(13)</w:t>
        </w:r>
        <w:r>
          <w:rPr>
            <w:rFonts w:ascii="Times New Roman" w:hAnsi="Times New Roman"/>
            <w:b w:val="false"/>
            <w:i/>
            <w:color w:val="000000"/>
            <w:sz w:val="22"/>
          </w:rPr>
          <w:t>“d.”</w:t>
        </w:r>
      </w:hyperlink>
      <w:r>
        <w:rPr>
          <w:rFonts w:ascii="Times New Roman" w:hAnsi="Times New Roman"/>
          <w:b w:val="false"/>
          <w:i w:val="false"/>
          <w:color w:val="000000"/>
          <w:sz w:val="22"/>
        </w:rPr>
        <w:t xml:space="preserve"> At a minimum, the CCO monthly budget must include the purchase of self-directed personal care, individual-directed goods and services, or self-directed community supports and services needed to meet the amount of service authorized for use in CCO identified in the member’s service plan. After funds have been budgeted to meet the identified needs, remaining funds from the monthly budget amount may be used to purchase additional self-directed personal care, individual-directed goods and services, or self-directed community supports and services as allowed by the monthly budget. The additional self-directed personal care, individual-directed goods and services, or self-directed community supports and services may exceed the amount of service or supports authorized in the member’s service plan. Items and services not covered by the individual budget are outlined in the HCBS Provider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costs of any approved home or vehicle modification, assistive device, or specialized medical equipment. When authorized, the budget may include an amount allocated for a home or vehicle modification, an assistive device, or specialized medical equipment. Before becoming part of the individual budget, all home and vehicle modifications, assistive devices, and specialized medical equipment shall be identified in the member’s service plan and approved by Iowa Medicaid or the member’s MCO. The authorized amount shall not be used for anything other than the specific modification, assistive device, or specialized medical equipment as outlined in the HCBS Provider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Any amount set aside in a savings plan to reserve funds for the future purchase of self-directed personal care, individual-directed goods and services, or self-directed community supports and services as defined in paragraph </w:t>
      </w:r>
      <w:hyperlink r:id="rId25">
        <w:r>
          <w:rPr>
            <w:rStyle w:val="Hyperlink"/>
            <w:rFonts w:ascii="Times New Roman" w:hAnsi="Times New Roman"/>
            <w:b w:val="false"/>
            <w:i w:val="false"/>
            <w:color w:val="000000"/>
            <w:sz w:val="22"/>
          </w:rPr>
          <w:t>78.34(13)</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savings plan shall meet the requirements in paragraph </w:t>
      </w:r>
      <w:hyperlink r:id="rId26">
        <w:r>
          <w:rPr>
            <w:rStyle w:val="Hyperlink"/>
            <w:rFonts w:ascii="Times New Roman" w:hAnsi="Times New Roman"/>
            <w:b w:val="false"/>
            <w:i w:val="false"/>
            <w:color w:val="000000"/>
            <w:sz w:val="22"/>
          </w:rPr>
          <w:t>78.34(13)</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Savings plan. </w:t>
      </w:r>
      <w:r>
        <w:rPr>
          <w:rFonts w:ascii="Times New Roman" w:hAnsi="Times New Roman"/>
          <w:b w:val="false"/>
          <w:i w:val="false"/>
          <w:color w:val="000000"/>
          <w:sz w:val="22"/>
        </w:rPr>
        <w:t>A member savings plan must be in writing and be approved before the start of the savings plan by the department for fee-for-service members or by the member’s MCO for members in managed care. Budget amounts allocated to the savings plan must result from efficiencies in meeting the member’s service needs identified in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savings plan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specific goods, services, supports or supplies to be purchased through the savings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individual budget allocated each month to the savings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the individual budget allocated each month to meet the member’s identified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How the member’s assessed needs will continue to be met through the individual budget when funds are placed in savings.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Specific time spans for accumulating the savings allocation, not to exceed the member’s current service plan year end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 the exception of funds allocated for respite care, the savings plan shall not include funds budgeted for direct services or supports that were not received. Funds from unused respite services may be allocated to the savings plan but shall not be used for anything other than future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Funds allocated to a savings plan may be used to purchase additional self-directed personal care, individual-directed goods and services, or self-directed community supports and services. The additional self-directed personal care, individual-directed goods and services, or self-directed community supports and services included in the monthly budget may exceed the amount of service or supports authorized in the member’s service plan. The self-directed personal care, individual-directed goods and services, or self-directed community supports and services purchased with funds from a savings plan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used to meet a member’s identified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medically necessary,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approved by the member’s case manager or community-based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funds allocated to a savings plan to purchase additional self-directed personal care, individual-directed goods and services, or self-directed community supports and services must be used during the member’s waiver year in which the saving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annual reassessment of a member’s needs must take into account the purchases of goods and services that substitute for human assistance. Adjustments shall be made to the services used to determine the individual budget based on the reassessment.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Budget authority. </w:t>
      </w:r>
      <w:r>
        <w:rPr>
          <w:rFonts w:ascii="Times New Roman" w:hAnsi="Times New Roman"/>
          <w:b w:val="false"/>
          <w:i w:val="false"/>
          <w:color w:val="000000"/>
          <w:sz w:val="22"/>
        </w:rPr>
        <w:t>The member shall have authority over the individual budget authorized by the department or MCO to perform the following tasks: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Contract with entities to provide services and supports as described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Determine the amount to be paid for services. Reimbursement rates for employees shall be consistent with employee reimbursement rates or the prevailing wages paid by others in the community for the same or substantially similar services. Reimbursement rates for the independent support broker and the financial management service are subject to the limits in </w:t>
      </w:r>
      <w:hyperlink r:id="rId27">
        <w:r>
          <w:rPr>
            <w:rStyle w:val="Hyperlink"/>
            <w:rFonts w:ascii="Times New Roman" w:hAnsi="Times New Roman"/>
            <w:b w:val="false"/>
            <w:i w:val="false"/>
            <w:color w:val="000000"/>
            <w:sz w:val="22"/>
          </w:rPr>
          <w:t>441—subrule 79.1(2)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Schedule the provision of services. A contingency plan must be established in the member’s service plan to ensure service delivery in the event the member’s employee is unable to provide services due to illness or other unexpected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Authorize payment for optional service components identified in the individual budget. When the member’s guardian or legal representative is a paid employee, payment authorization for optional service components must be delegated to a representative pursuant to paragraph </w:t>
      </w:r>
      <w:hyperlink r:id="rId28">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Reallocate funds among services included in the budget. Every purchase of a good or service must be identified and approved in the individual budget before the purchase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Employer authority. </w:t>
      </w:r>
      <w:r>
        <w:rPr>
          <w:rFonts w:ascii="Times New Roman" w:hAnsi="Times New Roman"/>
          <w:b w:val="false"/>
          <w:i w:val="false"/>
          <w:color w:val="000000"/>
          <w:sz w:val="22"/>
        </w:rPr>
        <w:t>The member shall have the authority to be the common-law employer of employees providing services and support under the CCO. A common-law employer has the right to direct and control the performance of the services. If the member is a child, the parent or the legal representative shall be responsible for completing all employer authority tasks. Adult members who do not have the ability to complete all employer authority tasks shall have a representative delegated to complete the employer authority tasks identified in this paragraph. Documentation of the person responsible for the employer authority tasks, whether the member or another entity, shall be included in the member’s service plan. The member or the delegated employer authority may perform the following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Recruit and hire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Verify employee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Specify additional employee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Determine employee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Determine employee wages and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Schedule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Train and supervise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Delegation of budget and employer authority. </w:t>
      </w:r>
      <w:r>
        <w:rPr>
          <w:rFonts w:ascii="Times New Roman" w:hAnsi="Times New Roman"/>
          <w:b w:val="false"/>
          <w:i w:val="false"/>
          <w:color w:val="000000"/>
          <w:sz w:val="22"/>
        </w:rPr>
        <w:t xml:space="preserve">The member may delegate responsibilities for the individual budget or employer authority functions to a representative. If the member is a child, the parent or the legal representative shall be delegated all budget and employer authority tasks. Adult members aged 18 and older who do not have the ability to complete all budget or employer authority tasks shall have a representative delegated to complete the applicable budget authority tasks identified in paragraph </w:t>
      </w:r>
      <w:hyperlink r:id="rId29">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employer authority tasks identified in paragraph </w:t>
      </w:r>
      <w:hyperlink r:id="rId30">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“h.”</w:t>
      </w:r>
      <w:r>
        <w:rPr>
          <w:rFonts w:ascii="Times New Roman" w:hAnsi="Times New Roman"/>
          <w:b w:val="false"/>
          <w:i w:val="false"/>
          <w:color w:val="000000"/>
          <w:sz w:val="22"/>
        </w:rPr>
        <w:t xml:space="preserve"> Documentation of the person responsible for the budget and employer authority tasks, whether the member or a representative, shall be included in the member’s 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representative must be at least 18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representative shall not be a current provider of service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shall sign a consent form that designates who the member has chosen as a representative and the responsibilities of the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representative shall not be paid for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Employment agreement. </w:t>
      </w:r>
      <w:r>
        <w:rPr>
          <w:rFonts w:ascii="Times New Roman" w:hAnsi="Times New Roman"/>
          <w:b w:val="false"/>
          <w:i w:val="false"/>
          <w:color w:val="000000"/>
          <w:sz w:val="22"/>
        </w:rPr>
        <w:t>Any person employed by the member to provide services under the CCO shall sign an employment agreement with the member that outlines the employee’s and member’s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the independent support broker. </w:t>
      </w:r>
      <w:r>
        <w:rPr>
          <w:rFonts w:ascii="Times New Roman" w:hAnsi="Times New Roman"/>
          <w:b w:val="false"/>
          <w:i w:val="false"/>
          <w:color w:val="000000"/>
          <w:sz w:val="22"/>
        </w:rPr>
        <w:t>The independent support broker shall perform the following services as directed by the member or the member’s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developing the member’s initial and subsequent individual budgets and with making any changes to the individual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monthly contact with the member for the first four months of implementation of the initial individual budget and have, at a minimum, quarterly contact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the required employment packet with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 with interviewing potential employees and entities providing services and supports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determining whether a potential employee meets the qualifications necessary to perform the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obtaining a signed consent from a potential employee to conduct background checks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negotiating with entities providing services and supports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contracts and payment methods for services and supports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developing an emergency backup plan. The emergency backup plan shall address any health and safety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Review expenditure reports from the financial management service to ensure that services and supports in the individual budget are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Document in writing on the independent support broker timecard every contact the broker has with the member. Contact documentation shall include information on the extent to which the member’s individual budget has addressed the member’s needs and the satisfaction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the financial management service. </w:t>
      </w:r>
      <w:r>
        <w:rPr>
          <w:rFonts w:ascii="Times New Roman" w:hAnsi="Times New Roman"/>
          <w:b w:val="false"/>
          <w:i w:val="false"/>
          <w:color w:val="000000"/>
          <w:sz w:val="22"/>
        </w:rPr>
        <w:t>The financial management service shall perform all of the following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Receive Medicaid funds in an electronic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Process and pay invoices for approved goods and services included in the individual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Monitor and track the approved individual budget amount authorized each month and document all expenditures as they are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real-time individual budget account balances for the member, the independent support broker, and the department, available at a minimum during normal business hours (9 a.m. to 5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 criminal background checks on potential employees pursuant to </w:t>
      </w:r>
      <w:hyperlink r:id="rId31">
        <w:r>
          <w:rPr>
            <w:rStyle w:val="Hyperlink"/>
            <w:rFonts w:ascii="Times New Roman" w:hAnsi="Times New Roman"/>
            <w:b w:val="false"/>
            <w:i w:val="false"/>
            <w:color w:val="000000"/>
            <w:sz w:val="22"/>
          </w:rPr>
          <w:t>441—Chapter 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Verify for the member an employee’s citizenship or alien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Assist the member with fiscal and payroll-related responsibilities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Verifying that hourly wages comply with federal and state labor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Collecting and processing timecards.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Withholding, filing, and paying federal, state and local income taxes, Medicare and Social Security (FICA) taxes, and federal (FUTA) and state (SUTA) unemployment and disability insurance taxes,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Computing and processing other withholdings,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Processing all judgments, garnishments, tax levies, or other withholding on an employee’s pay as may be required by federal, state, or local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Preparing and issuing employee payroll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Preparing and disbursing IRS Forms W-2 and W-3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Processing federal advance earned income tax credit for eligible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Refunding over-collected FICA,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Refunding over-collected FUTA,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Assist the member in completing required federal, state, and local tax and insurance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Establish and manage documents and files for the member and the member’s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Monitor timecards, receipts, and invoices to ensure that they are consistent with the individual budget. Keep records of all timecards and invoices for each member for a total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Provide to the department, the independent support broker, and the member monthly and quarterly status reports that include a summary of expenditures paid and amount of budget unused.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Establish an accessible customer service system and a method of communication for the member and the independent support broker that includes alternative communication formats.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Establish a customer services complaint reporting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Develop a policy and procedures manual that is current with state and federal regulations and update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Develop a business continuity plan in the case of emergencies and natural disasters.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Provide to the department an annual independent audit of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Assist in implementing the state’s quality management strategy related to the financial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request that the financial management service provider withhold payment to any member or member’s employee to offset any overpayment or enforce any sanction placed on the service provider pursuant to rule </w:t>
      </w:r>
      <w:hyperlink r:id="rId32">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the member and the employee. </w:t>
      </w:r>
      <w:r>
        <w:rPr>
          <w:rFonts w:ascii="Times New Roman" w:hAnsi="Times New Roman"/>
          <w:b w:val="false"/>
          <w:i w:val="false"/>
          <w:color w:val="000000"/>
          <w:sz w:val="22"/>
        </w:rPr>
        <w:t>A member participating in the CCO and the member’s employee(s) are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participating in the CCO shall be jointly and severally liable with any of the member’s employees for any overpayment of medical assistance funds used through a CCO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may not employ any person who has been sanctioned, or who is affiliated with a person or an entity that has been sanctioned, under </w:t>
      </w:r>
      <w:hyperlink r:id="rId33">
        <w:r>
          <w:rPr>
            <w:rStyle w:val="Hyperlink"/>
            <w:rFonts w:ascii="Times New Roman" w:hAnsi="Times New Roman"/>
            <w:b w:val="false"/>
            <w:i w:val="false"/>
            <w:color w:val="000000"/>
            <w:sz w:val="22"/>
          </w:rPr>
          <w:t>441—Chapter 79</w:t>
        </w:r>
      </w:hyperlink>
      <w:r>
        <w:rPr>
          <w:rFonts w:ascii="Times New Roman" w:hAnsi="Times New Roman"/>
          <w:b w:val="false"/>
          <w:i w:val="false"/>
          <w:color w:val="000000"/>
          <w:sz w:val="22"/>
        </w:rPr>
        <w:t xml:space="preserve">. For purposes of this subparagraph, “sanction” also includes anyone who has been temporarily suspended for a credible allegation of fraud under </w:t>
      </w:r>
      <w:r>
        <w:rPr>
          <w:rFonts w:ascii="Times New Roman" w:hAnsi="Times New Roman"/>
          <w:b w:val="false"/>
          <w:i w:val="false"/>
          <w:color w:val="000000"/>
          <w:sz w:val="22"/>
        </w:rPr>
        <w:t>42 CFR Part 455</w:t>
      </w:r>
      <w:r>
        <w:rPr>
          <w:rFonts w:ascii="Times New Roman" w:hAnsi="Times New Roman"/>
          <w:b w:val="false"/>
          <w:i w:val="false"/>
          <w:color w:val="000000"/>
          <w:sz w:val="22"/>
        </w:rPr>
        <w:t xml:space="preserve"> as amended to July 1, 2026. Any CCO funds paid to any employee who or which has been sanctioned is an overpayment that the department shall recoup under </w:t>
      </w:r>
      <w:hyperlink r:id="rId34">
        <w:r>
          <w:rPr>
            <w:rStyle w:val="Hyperlink"/>
            <w:rFonts w:ascii="Times New Roman" w:hAnsi="Times New Roman"/>
            <w:b w:val="false"/>
            <w:i w:val="false"/>
            <w:color w:val="000000"/>
            <w:sz w:val="22"/>
          </w:rPr>
          <w:t>441—Chapter 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may not employ any person who has been excluded by the Office of the Inspector General of the Department of Health and Human Services under </w:t>
      </w:r>
      <w:r>
        <w:rPr>
          <w:rFonts w:ascii="Times New Roman" w:hAnsi="Times New Roman"/>
          <w:b w:val="false"/>
          <w:i w:val="false"/>
          <w:color w:val="000000"/>
          <w:sz w:val="22"/>
        </w:rPr>
        <w:t>Sections 1128 or 1156 of the Social Security Act</w:t>
      </w:r>
      <w:r>
        <w:rPr>
          <w:rFonts w:ascii="Times New Roman" w:hAnsi="Times New Roman"/>
          <w:b w:val="false"/>
          <w:i w:val="false"/>
          <w:color w:val="000000"/>
          <w:sz w:val="22"/>
        </w:rPr>
        <w:t xml:space="preserve"> as amended to July 1, 2026, and is not eligible to receive federal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personal care services, employees shall use an electronic visit verification system that captures all documentation requirements of the Consumer Choices Option Semi-Monthly Time Sheet or use a form prescribed by the department. All other employees shall complete, sign and date the Consumer Choices Option Semi-Monthly Time Sheet, for each date of service provided to a member. All employees shall maintain documentation that complies with rule </w:t>
      </w:r>
      <w:hyperlink r:id="rId35">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shall sign, and certify under penalty of perjury, each employee timecard identified in subparagraph </w:t>
      </w:r>
      <w:hyperlink r:id="rId36">
        <w:r>
          <w:rPr>
            <w:rStyle w:val="Hyperlink"/>
            <w:rFonts w:ascii="Times New Roman" w:hAnsi="Times New Roman"/>
            <w:b w:val="false"/>
            <w:i w:val="false"/>
            <w:color w:val="000000"/>
            <w:sz w:val="22"/>
          </w:rPr>
          <w:t>78.34(13)</w:t>
        </w:r>
      </w:hyperlink>
      <w:r>
        <w:rPr>
          <w:rFonts w:ascii="Times New Roman" w:hAnsi="Times New Roman"/>
          <w:b w:val="false"/>
          <w:i/>
          <w:color w:val="000000"/>
          <w:sz w:val="22"/>
        </w:rPr>
        <w:t>“m”</w:t>
      </w:r>
      <w:r>
        <w:rPr>
          <w:rFonts w:ascii="Times New Roman" w:hAnsi="Times New Roman"/>
          <w:b w:val="false"/>
          <w:i w:val="false"/>
          <w:color w:val="000000"/>
          <w:sz w:val="22"/>
        </w:rPr>
        <w:t>(4) prior to the timecard’s submission to the financial management service provider for payment in order to verify that all information on the submitted timecard accurately describes the amount, duration, and scope of services provided. When timecard information is submitted to the financial management service provider in an electronic format, the member shall retain the signed employee timecard for five years from the date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78.34(14)</w:t>
      </w:r>
      <w:r>
        <w:rPr>
          <w:rFonts w:ascii="Times New Roman" w:hAnsi="Times New Roman"/>
          <w:b w:val="false"/>
          <w:i w:val="false"/>
          <w:color w:val="000000"/>
          <w:sz w:val="22"/>
        </w:rPr>
        <w:t> </w:t>
      </w:r>
      <w:r>
        <w:rPr>
          <w:rFonts w:ascii="Times New Roman" w:hAnsi="Times New Roman"/>
          <w:b w:val="false"/>
          <w:i/>
          <w:color w:val="000000"/>
          <w:sz w:val="22"/>
        </w:rPr>
        <w:t xml:space="preserve">General service standards. </w:t>
      </w:r>
      <w:r>
        <w:rPr>
          <w:rFonts w:ascii="Times New Roman" w:hAnsi="Times New Roman"/>
          <w:b w:val="false"/>
          <w:i w:val="false"/>
          <w:color w:val="000000"/>
          <w:sz w:val="22"/>
        </w:rPr>
        <w:t>All health and disability waiver services must be provided in accordance with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will not be available under the waiver for any services that the member can obtain as other nonwaiver Medicaid services or through any other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services provided under the waiver must be delivered in the least restrictive environment possible and in conformity with the member’s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restrictions must be implemented in accordance with </w:t>
      </w:r>
      <w:hyperlink r:id="rId37">
        <w:r>
          <w:rPr>
            <w:rStyle w:val="Hyperlink"/>
            <w:rFonts w:ascii="Times New Roman" w:hAnsi="Times New Roman"/>
            <w:b w:val="false"/>
            <w:i w:val="false"/>
            <w:color w:val="000000"/>
            <w:sz w:val="22"/>
          </w:rPr>
          <w:t>441—subrule 77.30(4)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Services must be billed in whole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all services with a 15-minute unit of service, the following rounding process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Add together the minutes spent on all billable activities during a calendar day for a daily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each day, divide the total minutes spent on billable activities by 15 to determine the number of full 15-minute units for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Round the remainder using these guidelines: Round 1 to 7 minutes down to zero units; round 8 to 14 minutes up to one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 together the number of full units and the number of rounded units to determine the total number of units to bill for that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0315D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3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83.pdf" Type="http://schemas.openxmlformats.org/officeDocument/2006/relationships/hyperlink" Id="rId4"/>
    <Relationship TargetMode="External" Target="https://www.legis.iowa.gov/docs/iac/rule/441.78.9.pdf" Type="http://schemas.openxmlformats.org/officeDocument/2006/relationships/hyperlink" Id="rId5"/>
    <Relationship TargetMode="External" Target="https://www.legis.iowa.gov/docs/iac/chapter/441.83.pdf" Type="http://schemas.openxmlformats.org/officeDocument/2006/relationships/hyperlink" Id="rId6"/>
    <Relationship TargetMode="External" Target="https://www.legis.iowa.gov/docs/ico/chapter/135C.pdf" Type="http://schemas.openxmlformats.org/officeDocument/2006/relationships/hyperlink" Id="rId7"/>
    <Relationship TargetMode="External" Target="https://www.legis.iowa.gov/docs/iac/rule/441.24.1.pdf" Type="http://schemas.openxmlformats.org/officeDocument/2006/relationships/hyperlink" Id="rId8"/>
    <Relationship TargetMode="External" Target="https://www.legis.iowa.gov/docs/iac/rule/441.78.34.pdf" Type="http://schemas.openxmlformats.org/officeDocument/2006/relationships/hyperlink" Id="rId9"/>
    <Relationship TargetMode="External" Target="https://www.legis.iowa.gov/docs/iac/rule/441.78.34.pdf" Type="http://schemas.openxmlformats.org/officeDocument/2006/relationships/hyperlink" Id="rId10"/>
    <Relationship TargetMode="External" Target="https://www.legis.iowa.gov/docs/iac/rule/441.79.10.pdf" Type="http://schemas.openxmlformats.org/officeDocument/2006/relationships/hyperlink" Id="rId11"/>
    <Relationship TargetMode="External" Target="https://www.legis.iowa.gov/docs/iac/rule/441.79.3.pdf" Type="http://schemas.openxmlformats.org/officeDocument/2006/relationships/hyperlink" Id="rId12"/>
    <Relationship TargetMode="External" Target="https://www.legis.iowa.gov/docs/iac/rule/441.79.3.pdf" Type="http://schemas.openxmlformats.org/officeDocument/2006/relationships/hyperlink" Id="rId13"/>
    <Relationship TargetMode="External" Target="https://www.legis.iowa.gov/docs/iac/rule/441.78.9.pdf" Type="http://schemas.openxmlformats.org/officeDocument/2006/relationships/hyperlink" Id="rId14"/>
    <Relationship TargetMode="External" Target="https://www.legis.iowa.gov/docs/iac/rule/441.78.9.pdf" Type="http://schemas.openxmlformats.org/officeDocument/2006/relationships/hyperlink" Id="rId15"/>
    <Relationship TargetMode="External" Target="https://www.legis.iowa.gov/docs/iac/rule/441.79.1.pdf" Type="http://schemas.openxmlformats.org/officeDocument/2006/relationships/hyperlink" Id="rId16"/>
    <Relationship TargetMode="External" Target="https://www.legis.iowa.gov/docs/iac/rule/441.78.34.pdf" Type="http://schemas.openxmlformats.org/officeDocument/2006/relationships/hyperlink" Id="rId17"/>
    <Relationship TargetMode="External" Target="https://www.legis.iowa.gov/docs/iac/rule/441.78.34.pdf" Type="http://schemas.openxmlformats.org/officeDocument/2006/relationships/hyperlink" Id="rId18"/>
    <Relationship TargetMode="External" Target="https://www.legis.iowa.gov/docs/iac/rule/441.78.34.pdf" Type="http://schemas.openxmlformats.org/officeDocument/2006/relationships/hyperlink" Id="rId19"/>
    <Relationship TargetMode="External" Target="https://www.legis.iowa.gov/docs/iac/rule/441.78.34.pdf" Type="http://schemas.openxmlformats.org/officeDocument/2006/relationships/hyperlink" Id="rId20"/>
    <Relationship TargetMode="External" Target="https://www.legis.iowa.gov/docs/iac/rule/441.78.34.pdf" Type="http://schemas.openxmlformats.org/officeDocument/2006/relationships/hyperlink" Id="rId21"/>
    <Relationship TargetMode="External" Target="https://www.legis.iowa.gov/docs/iac/rule/441.78.34.pdf" Type="http://schemas.openxmlformats.org/officeDocument/2006/relationships/hyperlink" Id="rId22"/>
    <Relationship TargetMode="External" Target="https://www.legis.iowa.gov/docs/iac/chapter/441.119.pdf" Type="http://schemas.openxmlformats.org/officeDocument/2006/relationships/hyperlink" Id="rId23"/>
    <Relationship TargetMode="External" Target="https://www.legis.iowa.gov/docs/iac/rule/441.78.34.pdf" Type="http://schemas.openxmlformats.org/officeDocument/2006/relationships/hyperlink" Id="rId24"/>
    <Relationship TargetMode="External" Target="https://www.legis.iowa.gov/docs/iac/rule/441.78.34.pdf" Type="http://schemas.openxmlformats.org/officeDocument/2006/relationships/hyperlink" Id="rId25"/>
    <Relationship TargetMode="External" Target="https://www.legis.iowa.gov/docs/iac/rule/441.78.34.pdf" Type="http://schemas.openxmlformats.org/officeDocument/2006/relationships/hyperlink" Id="rId26"/>
    <Relationship TargetMode="External" Target="https://www.legis.iowa.gov/docs/iac/rule/441.79.1.pdf" Type="http://schemas.openxmlformats.org/officeDocument/2006/relationships/hyperlink" Id="rId27"/>
    <Relationship TargetMode="External" Target="https://www.legis.iowa.gov/docs/iac/rule/441.78.34.pdf" Type="http://schemas.openxmlformats.org/officeDocument/2006/relationships/hyperlink" Id="rId28"/>
    <Relationship TargetMode="External" Target="https://www.legis.iowa.gov/docs/iac/rule/441.78.34.pdf" Type="http://schemas.openxmlformats.org/officeDocument/2006/relationships/hyperlink" Id="rId29"/>
    <Relationship TargetMode="External" Target="https://www.legis.iowa.gov/docs/iac/rule/441.78.34.pdf" Type="http://schemas.openxmlformats.org/officeDocument/2006/relationships/hyperlink" Id="rId30"/>
    <Relationship TargetMode="External" Target="https://www.legis.iowa.gov/docs/iac/chapter/441.119.pdf" Type="http://schemas.openxmlformats.org/officeDocument/2006/relationships/hyperlink" Id="rId31"/>
    <Relationship TargetMode="External" Target="https://www.legis.iowa.gov/docs/iac/rule/441.79.3.pdf" Type="http://schemas.openxmlformats.org/officeDocument/2006/relationships/hyperlink" Id="rId32"/>
    <Relationship TargetMode="External" Target="https://www.legis.iowa.gov/docs/iac/chapter/441.79.pdf" Type="http://schemas.openxmlformats.org/officeDocument/2006/relationships/hyperlink" Id="rId33"/>
    <Relationship TargetMode="External" Target="https://www.legis.iowa.gov/docs/iac/chapter/441.79.pdf" Type="http://schemas.openxmlformats.org/officeDocument/2006/relationships/hyperlink" Id="rId34"/>
    <Relationship TargetMode="External" Target="https://www.legis.iowa.gov/docs/iac/rule/441.79.3.pdf" Type="http://schemas.openxmlformats.org/officeDocument/2006/relationships/hyperlink" Id="rId35"/>
    <Relationship TargetMode="External" Target="https://www.legis.iowa.gov/docs/iac/rule/441.78.34.pdf" Type="http://schemas.openxmlformats.org/officeDocument/2006/relationships/hyperlink" Id="rId36"/>
    <Relationship TargetMode="External" Target="https://www.legis.iowa.gov/docs/iac/rule/441.77.30.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