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441—78.31</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color w:val="000000"/>
          <w:sz w:val="22"/>
        </w:rPr>
        <w:t xml:space="preserve">Covered hospital outpatient services. </w:t>
      </w:r>
      <w:r>
        <w:rPr>
          <w:rFonts w:ascii="Times New Roman" w:hAnsi="Times New Roman"/>
          <w:b w:val="false"/>
          <w:i w:val="false"/>
          <w:color w:val="000000"/>
          <w:sz w:val="22"/>
        </w:rPr>
        <w:t xml:space="preserve">Payment will be approved only for the following outpatient hospital services and medical services when provided on the licensed premises of the hospital. Hospitals with alternate sites approved by the department of inspections, appeals, and licensing are acceptable sites. All outpatient services listed in paragraphs </w:t>
      </w:r>
      <w:hyperlink r:id="rId4">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are subject to a random sample retrospective review for medical necessity by Iowa Medicaid. All services may also be subject to a more intensive retrospective review if abuse is suspected. Services in paragraphs </w:t>
      </w:r>
      <w:hyperlink r:id="rId5">
        <w:r>
          <w:rPr>
            <w:rStyle w:val="Hyperlink"/>
            <w:rFonts w:ascii="Times New Roman" w:hAnsi="Times New Roman"/>
            <w:b w:val="false"/>
            <w:i w:val="false"/>
            <w:color w:val="000000"/>
            <w:sz w:val="22"/>
          </w:rPr>
          <w:t>78.31(1)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provided in hospitals on an outpatient basis and are subject to no further limitations except medical necessity of the service.</w:t>
      </w:r>
    </w:p>
    <w:p>
      <w:pPr>
        <w:spacing w:before="0" w:after="0"/>
        <w:ind w:left="120"/>
        <w:jc w:val="both"/>
      </w:pPr>
      <w:r>
        <w:rPr>
          <w:rFonts w:ascii="Times New Roman" w:hAnsi="Times New Roman"/>
          <w:b w:val="false"/>
          <w:i w:val="false"/>
          <w:color w:val="000000"/>
          <w:sz w:val="22"/>
        </w:rPr>
        <w:t xml:space="preserve">Services listed in paragraphs </w:t>
      </w:r>
      <w:hyperlink r:id="rId6">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shall be provided by hospitals on an outpatient basis and must be certified by the department before payment may be made. Other limitations apply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Laboratory,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or family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Follow-up or after-care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Physical medicine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for persons aged 20 and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direction. </w:t>
      </w:r>
      <w:r>
        <w:rPr>
          <w:rFonts w:ascii="Times New Roman" w:hAnsi="Times New Roman"/>
          <w:b w:val="false"/>
          <w:i w:val="false"/>
          <w:color w:val="000000"/>
          <w:sz w:val="22"/>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Goals and objectives. </w:t>
      </w:r>
      <w:r>
        <w:rPr>
          <w:rFonts w:ascii="Times New Roman" w:hAnsi="Times New Roman"/>
          <w:b w:val="false"/>
          <w:i w:val="false"/>
          <w:color w:val="000000"/>
          <w:sz w:val="22"/>
        </w:rPr>
        <w:t xml:space="preserve">The goals and objectives of the program must be clearly stated. Paragraphs </w:t>
      </w:r>
      <w:hyperlink r:id="rId7">
        <w:r>
          <w:rPr>
            <w:rStyle w:val="Hyperlink"/>
            <w:rFonts w:ascii="Times New Roman" w:hAnsi="Times New Roman"/>
            <w:b w:val="false"/>
            <w:i w:val="false"/>
            <w:color w:val="000000"/>
            <w:sz w:val="22"/>
          </w:rPr>
          <w:t>78.31(2)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the organization and administration of the program must clearly contribute to the fulfillment of the stated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modalities used. </w:t>
      </w:r>
      <w:r>
        <w:rPr>
          <w:rFonts w:ascii="Times New Roman" w:hAnsi="Times New Roman"/>
          <w:b w:val="false"/>
          <w:i w:val="false"/>
          <w:color w:val="000000"/>
          <w:sz w:val="22"/>
        </w:rPr>
        <w:t>The service must employ multiple treatment modalities and professional disciplines. The modalities and disciplines employed must be clearly related to the condition or disease being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and continuing treatment of patients. </w:t>
      </w:r>
      <w:r>
        <w:rPr>
          <w:rFonts w:ascii="Times New Roman" w:hAnsi="Times New Roman"/>
          <w:b w:val="false"/>
          <w:i w:val="false"/>
          <w:color w:val="000000"/>
          <w:sz w:val="22"/>
        </w:rPr>
        <w:t>The condition or disease proposed to be treated must be clearly stated. Any indications for treatment or contraindications for treatment must be set forth together with criteria for determining the continued medical necessity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Length of program. </w:t>
      </w:r>
      <w:r>
        <w:rPr>
          <w:rFonts w:ascii="Times New Roman" w:hAnsi="Times New Roman"/>
          <w:b w:val="false"/>
          <w:i w:val="false"/>
          <w:color w:val="000000"/>
          <w:sz w:val="22"/>
        </w:rPr>
        <w:t>There must be established parameters that limit the program either in terms of its overall length or in terms of number of visits,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services. </w:t>
      </w:r>
      <w:r>
        <w:rPr>
          <w:rFonts w:ascii="Times New Roman" w:hAnsi="Times New Roman"/>
          <w:b w:val="false"/>
          <w:i w:val="false"/>
          <w:color w:val="000000"/>
          <w:sz w:val="22"/>
        </w:rPr>
        <w:t>The services provided by the program must be monitored and evaluated to determine the degree to which patients are receiving accurate assessments and effective treatment.</w:t>
      </w:r>
    </w:p>
    <w:p>
      <w:pPr>
        <w:spacing w:before="0" w:after="0"/>
        <w:ind w:left="120"/>
        <w:jc w:val="both"/>
      </w:pPr>
      <w:r>
        <w:rPr>
          <w:rFonts w:ascii="Times New Roman" w:hAnsi="Times New Roman"/>
          <w:b w:val="false"/>
          <w:i w:val="false"/>
          <w:color w:val="000000"/>
          <w:sz w:val="22"/>
        </w:rPr>
        <w:t>The monitoring of the services must be an ongoing plan and systematic process to identify problems in patient care or opportunities to improve patient care.</w:t>
      </w:r>
    </w:p>
    <w:p>
      <w:pPr>
        <w:spacing w:before="0" w:after="0"/>
        <w:ind w:left="120"/>
        <w:jc w:val="both"/>
      </w:pPr>
      <w:r>
        <w:rPr>
          <w:rFonts w:ascii="Times New Roman" w:hAnsi="Times New Roman"/>
          <w:b w:val="false"/>
          <w:i w:val="false"/>
          <w:color w:val="000000"/>
          <w:sz w:val="22"/>
        </w:rPr>
        <w:t>The monitoring and evaluation of the services are based on the use of clinical indicators that reflect those components of patient care important to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outpatient administration of a vaccine covered under the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Hospital outpatient programs listed in paragraphs </w:t>
      </w:r>
      <w:hyperlink r:id="rId8">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must submit an application to Iowa Medicaid for certification before payment will be made. Iowa Medicaid will review the application against the requirements for the specific type of outpatient service and notify the provider whether certification has been approved.</w:t>
      </w:r>
    </w:p>
    <w:p>
      <w:pPr>
        <w:spacing w:before="0" w:after="0"/>
        <w:ind w:left="120"/>
        <w:jc w:val="both"/>
      </w:pPr>
      <w:r>
        <w:rPr>
          <w:rFonts w:ascii="Times New Roman" w:hAnsi="Times New Roman"/>
          <w:b w:val="false"/>
          <w:i w:val="false"/>
          <w:color w:val="000000"/>
          <w:sz w:val="22"/>
        </w:rPr>
        <w:t>Applications will consist of a narrative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Documented need for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program fits with the rest of the hospital, the number of staff, staff credentials, and the staff’s relationship to the program, e.g., hospital employee, contractual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including admission criteria, patient assessment, treatment plan, discharge plan and postdischarge services, and the scope of services provided, including treatment modalities.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 and whether the facility is part of the hospital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specific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joint commission. In addition to certification by the department, substance use disorder programs must also be approved by 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The services must be designed to identify and respond to the biological, psychological and social antecedents, influences and consequences associated with the recipient’s dependence.</w:t>
      </w:r>
    </w:p>
    <w:p>
      <w:pPr>
        <w:spacing w:before="0" w:after="0"/>
        <w:ind w:left="120"/>
        <w:jc w:val="both"/>
      </w:pPr>
      <w:r>
        <w:rPr>
          <w:rFonts w:ascii="Times New Roman" w:hAnsi="Times New Roman"/>
          <w:b w:val="false"/>
          <w:i w:val="false"/>
          <w:color w:val="000000"/>
          <w:sz w:val="22"/>
        </w:rPr>
        <w:t>These needed services must be provided either directly by the facility or through referral, consultation or contractual arrangements or agreements.</w:t>
      </w:r>
    </w:p>
    <w:p>
      <w:pPr>
        <w:spacing w:before="0" w:after="0"/>
        <w:ind w:left="120"/>
        <w:jc w:val="both"/>
      </w:pPr>
      <w:r>
        <w:rPr>
          <w:rFonts w:ascii="Times New Roman" w:hAnsi="Times New Roman"/>
          <w:b w:val="false"/>
          <w:i w:val="false"/>
          <w:color w:val="000000"/>
          <w:sz w:val="22"/>
        </w:rPr>
        <w:t>Special treatment needs of recipients by reason of age, sex,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on the diagnostic and treatment staff, either through employment by the facility (full-time or part-time), contract or referral, are a physician (M.D. or D.O.), a licensed psychologist and a substance use counselor certified by the Iowa board of certification. Psychiatric consultation must be available and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history of the use of alcohol and other drugs including age of onset, duration, patterns, and consequences of use; use of alcohol and drugs by family members and types of and responses to previous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comprehensive medical history and physical examination including the history of physical problems associated with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systematic mental status examination with special emphasis on immediate recall and recent and remote memory.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family’s history of substance use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and in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Interviews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patient’s 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Admission criteria. Both of the first two criteria and one additional criterion from the following list must be present for a patient to be accepted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Alcohol or drugs taken in greater amounts over a longer period than the person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or more unsuccessful efforts to cut down or control use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Continued alcohol or drug use despite knowledge of having a persistent or recurrent family, social, occupational, psychological, or physical problem that is caused or exacerbated by the use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Marked tolerance: the need for markedly increased amounts of alcohol or drugs (i.e., at least a 50 percent increase) in order to achieve intoxication or desired effect or markedly diminished effect with continued use of same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Characteristic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Alcohol or drugs taken often to relieve or avoid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 to determine current clinical problems, needs, and responses to treatment. The plan shall include documentation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needs and, when appropriate and available, the family’s perception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developed in collaboration with the patient and, as appropriate and available, with the patient’s written verbal permission with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reimburse for a maximum of 28 treatment days. Payment beyond 28 days is made when documentation indicates that the patient has not reached an exit level. If an individual has completed all or part of the basic 28-day program, a repeat of the program will be reimbursed with justification. The program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Eating disorders are characterized by gross disturbances in eating behavior. Eating disorders include anorexia nervosa or bulimia nervosa. Compulsive overeaters are not approved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family history as well as self-assessment regarding chronic dieting, obesity, anorexia, bulimia, drug abuse, alcohol problems, depression, hospitalization for psychiatric reasons, and threatened or attempted suicide.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history of exercise behavior, including type, frequency,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complete history of current alcohol and other drug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suicidal thoughts or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Sexual history, including sexual preference and activity. Sexual interest currently as compared to prior to the eating disorder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History of experiencing physical or sexual (incest or rape)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History of other counseling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Appropriate psychological assessment, including psychological orientation to the above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history, including a physical examination, covering the information listed in subparagraph </w:t>
      </w:r>
      <w:hyperlink r:id="rId9">
        <w:r>
          <w:rPr>
            <w:rStyle w:val="Hyperlink"/>
            <w:rFonts w:ascii="Times New Roman" w:hAnsi="Times New Roman"/>
            <w:b w:val="false"/>
            <w:i w:val="false"/>
            <w:color w:val="000000"/>
            <w:sz w:val="22"/>
          </w:rPr>
          <w:t>78.31(4)</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or school performance history,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and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Interview of family members and significant others as available with the patient’s written or verbal permission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In order to be accepted for treatment, the patient shall meet the diagnostic criteria for anorexia nervosa or bulimia nervosa as established by the DSM (Diagnostic and Statistical Manual of Mental Disorders as amended to July 1, 2026) published by the American Psychiatric Association. 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 The need for treatment may be further substantiated by substance use, out-of-control spending, incidence of stealing to support habit, or compulsive gambling. The symptoms shall have been present for at least six months and three of the following criteria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cardiovascular factors including hypotension, hypertension, arrhythmia, ipecac poisoning, fainting, or bradycardia.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Renal considerations including diuretic abuse, dehydration, elevated BUN, renal calculi, edema, or hypokalemia.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Gastrointestinal factors including sore throats, Mallory-Weiss tears, decreased gastric emptying, constipation, abnormal liver enzymes, rectal bleeding, laxative abuse, or esophagitis.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Hematologic considerations including anemia, leukopenia, or thrombocytopenia.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Ear, nose, and throat factors including headaches or dizziness.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Skin considerations including lanugo or dry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Aspiration pneumonia, a pulmonary factor.</w:t>
      </w:r>
    </w:p>
    <w:p>
      <w:pPr>
        <w:spacing w:before="0" w:after="0"/>
        <w:ind w:left="120"/>
        <w:jc w:val="both"/>
      </w:pPr>
      <w:r>
        <w:rPr>
          <w:rFonts w:ascii="Times New Roman" w:hAnsi="Times New Roman"/>
          <w:b w:val="false"/>
          <w:i w:val="false"/>
          <w:color w:val="000000"/>
          <w:sz w:val="22"/>
        </w:rPr>
        <w:t>The presence of severe symptoms and complications as evaluated and documented by the medical director may require a period of hospitalization to establish physical or 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 to determine current clinical problems, needs, and responses to treatment. The plan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perceptions of needs and, when appropriate and available, the family’s perceptions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plan. Plans for discharge shall meet the requirements for discharge plans for alcohol and substance use patients in subparagraph </w:t>
      </w:r>
      <w:hyperlink r:id="rId10">
        <w:r>
          <w:rPr>
            <w:rStyle w:val="Hyperlink"/>
            <w:rFonts w:ascii="Times New Roman" w:hAnsi="Times New Roman"/>
            <w:b w:val="false"/>
            <w:i w:val="false"/>
            <w:color w:val="000000"/>
            <w:sz w:val="22"/>
          </w:rPr>
          <w:t>78.31(4)</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Eating disorder programs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Family counseling groups held in conjunction with the eating disorders program will be part of the overall treatment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staff. Professional disciplines who must be represented on the treatment staff, either by employment by the facility (full-time or part-time), contract or referral,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one physician, ARNP, or PA responsible for responding to emergencies must be physically present in the hospital when patients are receiving cardiac rehabilitation services. The physician, ARNP, or PA must be trained and certified at least to the level of basic life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cardiac rehabilitation nurse shall carry out the exercise prescription after assessment of the patient. The nurse shall be able to interpret cardiac dysrhythmia and be able to initiate emergency action if necessary. The nurse shall assess and implement a plan of care for cardiac risk factor modification. The nurse shall have at least one year of experience in a coronary care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physical therapist shall offer expertise in unusual exercise prescriptions where a patient has an unusual exercise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dietitian shall assess the dietary needs of persons and appropriately instruct them on their prescribed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social worker shall provide counseling as appropriate and facilitate a spouse support group. A licensed occupational therapist shall be available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must be referred by the attending physician. The following conditions are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Postmyocardial infarction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Postcardiac surgery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Poststreptokinase.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Postpercutaneous transluminal angioplasty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with severe angina being treated medically because of client or doctor preference or inoperable cardiac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records. Medical records for each cardiac rehabilitation patient shall consist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Electrocardiogram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History and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Angiogram report,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Operative report,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Preadmission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Exercise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Rehabilitation plan, including participant’s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for exercise sessions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Nurse’s progress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Discharge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The patient will be discharged from the program when the physician, staff, and patient agree that the work level is functional for them and little benefit could be derived from further continuation of the program, dysrhythmia disturbances are resolved, and appropriate cardiovascular response to exercise is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of services. The program should be monitored by the hospital on a periodic basis using measuring criteria for evaluating cardiac rehabilitation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Payment will be made for a maximum of three visits per week for a period of 12 weeks. Payment beyond 12 weeks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ind w:left="120"/>
        <w:jc w:val="both"/>
      </w:pPr>
      <w:r>
        <w:rPr>
          <w:rFonts w:ascii="Times New Roman" w:hAnsi="Times New Roman"/>
          <w:b w:val="false"/>
          <w:i w:val="false"/>
          <w:color w:val="000000"/>
          <w:sz w:val="22"/>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 The diagnostic and treatment staff shall consist of a physician, a psychologist, social workers or counselors meeting the requirements for “mental health professionals” as set forth in rule </w:t>
      </w:r>
      <w:hyperlink r:id="rId1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history of the mental health problem, including age of onset, duration, patterns of symptoms, consequences of symptoms, and responses to previous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comprehensive clinical history, including the history of physical problems associated with the mental health problem. Appropriate referral for physical examination for determination of any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systematic mental health examination, with special emphasis on any change in cognitive, social or emotional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family’s history of mental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 including family and peer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in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Covered services. Services covered for the treatment of psychiatric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and group therapy with physicians, psychologists, social workers, counselors, or psychiatric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and biologicals furnished to outpatients for therapeutic purposes only if they are of the type that cannot be self-administered and are not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Activity therapies that are individualized and essential for the treatment of the patient’s condition. The treatment plan must clearly justify the need for each particular therapy utilized and explain how it fits into the patient’s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Family counseling services are covered only if the primary purpose of the counseling is the treatment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 components may include individual and group therapy, reality orientation, stress management and medication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provided for a period for four to eight hours per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Day treatment services means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12">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apply to hospitals. All conditions of the day treatment program for persons aged 20 or under as outlined in subrule </w:t>
      </w:r>
      <w:hyperlink r:id="rId13">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be applicable for the partial hospitalization program for persons aged 20 or under with the exception that the maximum hours shall be 25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coverage. The following are generally not covered, except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Activity therapies, group activities, or other services and programs that are primarily recreational or diversional in nature. Outpatient psychiatric day treatment programs that consist entirely of activity therapies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actual time the services were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Who rendered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setting in which the services were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time it took to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services to the treatment regimen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Updates describing the patient’s progress.</w:t>
      </w:r>
    </w:p>
    <w:p>
      <w:pPr>
        <w:spacing w:before="0" w:after="0"/>
        <w:ind w:left="120"/>
        <w:jc w:val="both"/>
      </w:pPr>
      <w:r>
        <w:rPr>
          <w:rFonts w:ascii="Times New Roman" w:hAnsi="Times New Roman"/>
          <w:b w:val="false"/>
          <w:i w:val="false"/>
          <w:color w:val="000000"/>
          <w:sz w:val="22"/>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be free of any underlying psychosis or severe neurosis.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cannot be toxic on any addictive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must be capable of self-care, including being able to get to meals and to perform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 to determine current clinical problems, needs, and responses to treatment. The plan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needs and, when appropriate and available, the family’s perception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developed in collaboration with the patient and, as appropriate and available, with the patient’s written verbal permission with the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ind w:left="120"/>
        <w:jc w:val="both"/>
      </w:pPr>
      <w:r>
        <w:rPr>
          <w:rFonts w:ascii="Times New Roman" w:hAnsi="Times New Roman"/>
          <w:b w:val="false"/>
          <w:i w:val="false"/>
          <w:color w:val="000000"/>
          <w:sz w:val="22"/>
        </w:rPr>
        <w:t>A repeat of the entire program for any patient will be covered only if a different disease process is causing the pain or a significant change in life situation can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An outpatient diabetes self-management education program shall provide instruction that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have Type I or Type II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be referred by the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shall demonstrate an ability to follow through with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assessment. An individualized and documented assessment of needs shall be developed with the patient’s participation. Follow-up assessments, planning and identification of problems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and limitations on payment. Medicaid will pay for a diabetic self-management education program. Diabetic education programs will include follow-up assessments at 3 and 12 months without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must occur initially,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diagnostic workup that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Behavioral considerations, including an emotional screening assessment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Criteria include a patient’s being diagnosed and symptomatic of chronic obstructive pulmonary disease (COPD); having cardiac stability and social, family, and financial resources; having the ability to tolerate periods of sitting time; and being a nonsmoker for six months or, if a smoker, willingness to quit and having a physician’s order to participate anyway. Factors that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Individualized long- and short-term goals will be developed for each patient. The treatment goals will be based on the problems and needs identified in the assessment and specify the regular times at which the plan will be reassessed to determine current clinical problems, needs, and responses to treatment. The patients and their families need to help determine and fully understand the goals, so that they realistically approach the treatment phase. Changes in treatment must be documented. Components of pulmonary rehabilitation to be included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therapy and relaxation techniques,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Exercise conditioning or physical conditioning for those with exercise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Respiratory therapy, education, an emphasis on the importance of smoking cessation,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Nutritional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Ongoing care will generally be the responsibility of the primary care physician. Periodic reassessment will be conducted to evaluate progress and allow for educational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25 treatment days. Payment beyond 25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31.pdf" Type="http://schemas.openxmlformats.org/officeDocument/2006/relationships/hyperlink" Id="rId4"/>
    <Relationship TargetMode="External" Target="https://www.legis.iowa.gov/docs/iac/rule/441.78.31.pdf" Type="http://schemas.openxmlformats.org/officeDocument/2006/relationships/hyperlink" Id="rId5"/>
    <Relationship TargetMode="External" Target="https://www.legis.iowa.gov/docs/iac/rule/441.78.31.pdf" Type="http://schemas.openxmlformats.org/officeDocument/2006/relationships/hyperlink" Id="rId6"/>
    <Relationship TargetMode="External" Target="https://www.legis.iowa.gov/docs/iac/rule/441.78.31.pdf" Type="http://schemas.openxmlformats.org/officeDocument/2006/relationships/hyperlink" Id="rId7"/>
    <Relationship TargetMode="External" Target="https://www.legis.iowa.gov/docs/iac/rule/441.78.31.pdf" Type="http://schemas.openxmlformats.org/officeDocument/2006/relationships/hyperlink" Id="rId8"/>
    <Relationship TargetMode="External" Target="https://www.legis.iowa.gov/docs/iac/rule/441.78.31.pdf" Type="http://schemas.openxmlformats.org/officeDocument/2006/relationships/hyperlink" Id="rId9"/>
    <Relationship TargetMode="External" Target="https://www.legis.iowa.gov/docs/iac/rule/441.78.31.pdf" Type="http://schemas.openxmlformats.org/officeDocument/2006/relationships/hyperlink" Id="rId10"/>
    <Relationship TargetMode="External" Target="https://www.legis.iowa.gov/docs/iac/rule/441.24.1.pdf" Type="http://schemas.openxmlformats.org/officeDocument/2006/relationships/hyperlink" Id="rId11"/>
    <Relationship TargetMode="External" Target="https://www.legis.iowa.gov/docs/iac/rule/441.78.16.pdf" Type="http://schemas.openxmlformats.org/officeDocument/2006/relationships/hyperlink" Id="rId12"/>
    <Relationship TargetMode="External" Target="https://www.legis.iowa.gov/docs/iac/rule/441.78.16.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