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441—78.3</w:t>
      </w:r>
      <w:r>
        <w:rPr>
          <w:rFonts w:ascii="Times New Roman" w:hAnsi="Times New Roman"/>
          <w:b/>
          <w:i w:val="false"/>
          <w:color w:val="000000"/>
          <w:sz w:val="22"/>
        </w:rPr>
        <w:t xml:space="preserve">(249A) </w:t>
      </w:r>
      <w:r>
        <w:rPr>
          <w:rFonts w:ascii="Times New Roman" w:hAnsi="Times New Roman"/>
          <w:b/>
          <w:i w:val="false"/>
          <w:color w:val="000000"/>
          <w:sz w:val="22"/>
        </w:rPr>
        <w:t xml:space="preserve">Inpatient hospital services. </w:t>
      </w:r>
      <w:r>
        <w:rPr>
          <w:rFonts w:ascii="Times New Roman" w:hAnsi="Times New Roman"/>
          <w:b w:val="false"/>
          <w:i w:val="false"/>
          <w:color w:val="000000"/>
          <w:sz w:val="22"/>
        </w:rPr>
        <w:t>Payment for inpatient hospital admission is approved when it meets the criteria for inpatient hospital care as determined by Iowa Medicaid. All cases are subject to random retrospective review and may be subject to a more intensive retrospective review if abuse is suspected. In addition, transfers, outliers, and readmissions within 31 days are subject to random review. Selected admissions and procedures are subject to a 100 percent review before the services are rendered. Medicaid payment for inpatient hospital admissions and continued stays are approved when the admissions and continued stays are determined to meet the criteria for inpatient hospital care. The criteria are available from Iowa Medicaid or in local hospital utilization review offices. No payment will be made for waiver days.</w:t>
      </w:r>
    </w:p>
    <w:p>
      <w:pPr>
        <w:spacing w:before="0" w:after="0"/>
        <w:ind w:left="120"/>
        <w:jc w:val="both"/>
      </w:pPr>
      <w:r>
        <w:rPr>
          <w:rFonts w:ascii="Times New Roman" w:hAnsi="Times New Roman"/>
          <w:b w:val="false"/>
          <w:i w:val="false"/>
          <w:color w:val="000000"/>
          <w:sz w:val="22"/>
        </w:rPr>
        <w:t xml:space="preserve">See rule </w:t>
      </w:r>
      <w:hyperlink r:id="rId4">
        <w:r>
          <w:rPr>
            <w:rStyle w:val="Hyperlink"/>
            <w:rFonts w:ascii="Times New Roman" w:hAnsi="Times New Roman"/>
            <w:b w:val="false"/>
            <w:i w:val="false"/>
            <w:color w:val="000000"/>
            <w:sz w:val="22"/>
          </w:rPr>
          <w:t>441—78.31</w:t>
        </w:r>
      </w:hyperlink>
      <w:r>
        <w:rPr>
          <w:rFonts w:ascii="Times New Roman" w:hAnsi="Times New Roman"/>
          <w:b w:val="false"/>
          <w:i w:val="false"/>
          <w:color w:val="000000"/>
          <w:sz w:val="22"/>
        </w:rPr>
        <w:t>(249A) for policies regarding payment of hospital outpatient services.</w:t>
      </w:r>
    </w:p>
    <w:p>
      <w:pPr>
        <w:spacing w:before="0" w:after="0"/>
        <w:ind w:left="120"/>
        <w:jc w:val="both"/>
      </w:pPr>
      <w:r>
        <w:rPr>
          <w:rFonts w:ascii="Times New Roman" w:hAnsi="Times New Roman"/>
          <w:b w:val="false"/>
          <w:i w:val="false"/>
          <w:color w:val="000000"/>
          <w:sz w:val="22"/>
        </w:rPr>
        <w:t xml:space="preserve">If the recipient is eligible for inpatient or outpatient hospital care through the Medicare program, payment will be made for deductibles and coinsurance as set out in </w:t>
      </w:r>
      <w:hyperlink r:id="rId5">
        <w:r>
          <w:rPr>
            <w:rStyle w:val="Hyperlink"/>
            <w:rFonts w:ascii="Times New Roman" w:hAnsi="Times New Roman"/>
            <w:b w:val="false"/>
            <w:i w:val="false"/>
            <w:color w:val="000000"/>
            <w:sz w:val="22"/>
          </w:rPr>
          <w:t>441—subrule 79.1(22)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DRG payment calculations include any special services required by the hospital, including a private room.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w:t>
      </w:r>
      <w:r>
        <w:rPr>
          <w:rFonts w:ascii="Times New Roman" w:hAnsi="Times New Roman"/>
          <w:b w:val="false"/>
          <w:i w:val="false"/>
          <w:color w:val="000000"/>
          <w:sz w:val="22"/>
        </w:rPr>
        <w:t> </w:t>
      </w:r>
      <w:r>
        <w:rPr>
          <w:rFonts w:ascii="Times New Roman" w:hAnsi="Times New Roman"/>
          <w:b w:val="false"/>
          <w:i w:val="false"/>
          <w:color w:val="000000"/>
          <w:sz w:val="22"/>
        </w:rPr>
        <w:t>Payment for Medicaid-certified physical rehabilitation units will be approved for the day of admission but not the day of discharge or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78.3(2)</w:t>
      </w:r>
      <w:r>
        <w:rPr>
          <w:rFonts w:ascii="Times New Roman" w:hAnsi="Times New Roman"/>
          <w:b w:val="false"/>
          <w:i w:val="false"/>
          <w:color w:val="000000"/>
          <w:sz w:val="22"/>
        </w:rPr>
        <w:t> </w:t>
      </w:r>
      <w:r>
        <w:rPr>
          <w:rFonts w:ascii="Times New Roman" w:hAnsi="Times New Roman"/>
          <w:b w:val="false"/>
          <w:i w:val="false"/>
          <w:color w:val="000000"/>
          <w:sz w:val="22"/>
        </w:rPr>
        <w:t>No payment will be approved for private duty nursing.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78.3(3)</w:t>
      </w:r>
      <w:r>
        <w:rPr>
          <w:rFonts w:ascii="Times New Roman" w:hAnsi="Times New Roman"/>
          <w:b w:val="false"/>
          <w:i w:val="false"/>
          <w:color w:val="000000"/>
          <w:sz w:val="22"/>
        </w:rPr>
        <w:t> </w:t>
      </w:r>
      <w:r>
        <w:rPr>
          <w:rFonts w:ascii="Times New Roman" w:hAnsi="Times New Roman"/>
          <w:b w:val="false"/>
          <w:i w:val="false"/>
          <w:color w:val="000000"/>
          <w:sz w:val="22"/>
        </w:rPr>
        <w:t>Certification of inpatient hospital care shall be the same as that in effect in part A of Medicare. The hospital admittance records are sufficient for the original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w:t>
      </w:r>
      <w:r>
        <w:rPr>
          <w:rFonts w:ascii="Times New Roman" w:hAnsi="Times New Roman"/>
          <w:b w:val="false"/>
          <w:i w:val="false"/>
          <w:color w:val="000000"/>
          <w:sz w:val="22"/>
        </w:rPr>
        <w:t> </w:t>
      </w:r>
      <w:r>
        <w:rPr>
          <w:rFonts w:ascii="Times New Roman" w:hAnsi="Times New Roman"/>
          <w:b w:val="false"/>
          <w:i w:val="false"/>
          <w:color w:val="000000"/>
          <w:sz w:val="22"/>
        </w:rPr>
        <w:t>Services provided for intestinal or gastric bypass surgery for treatment of obesity require prior approval, which must be obtained by the attending physician before surgery is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78.3(5)</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approved for drugs provided to inpatients subject to the same provisions specified in subrule </w:t>
      </w:r>
      <w:hyperlink r:id="rId6">
        <w:r>
          <w:rPr>
            <w:rStyle w:val="Hyperlink"/>
            <w:rFonts w:ascii="Times New Roman" w:hAnsi="Times New Roman"/>
            <w:b w:val="false"/>
            <w:i w:val="false"/>
            <w:color w:val="000000"/>
            <w:sz w:val="22"/>
          </w:rPr>
          <w:t>78.2(1)</w:t>
        </w:r>
      </w:hyperlink>
      <w:r>
        <w:rPr>
          <w:rFonts w:ascii="Times New Roman" w:hAnsi="Times New Roman"/>
          <w:b w:val="false"/>
          <w:i w:val="false"/>
          <w:color w:val="000000"/>
          <w:sz w:val="22"/>
        </w:rPr>
        <w:t xml:space="preserve"> and subparagraphs </w:t>
      </w:r>
      <w:hyperlink r:id="rId7">
        <w:r>
          <w:rPr>
            <w:rStyle w:val="Hyperlink"/>
            <w:rFonts w:ascii="Times New Roman" w:hAnsi="Times New Roman"/>
            <w:b w:val="false"/>
            <w:i w:val="false"/>
            <w:color w:val="000000"/>
            <w:sz w:val="22"/>
          </w:rPr>
          <w:t>78.2(4)</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“b”</w:t>
      </w:r>
      <w:r>
        <w:rPr>
          <w:rFonts w:ascii="Times New Roman" w:hAnsi="Times New Roman"/>
          <w:b w:val="false"/>
          <w:i w:val="false"/>
          <w:color w:val="000000"/>
          <w:sz w:val="22"/>
        </w:rPr>
        <w:t xml:space="preserve">(10), except for </w:t>
      </w:r>
      <w:r>
        <w:rPr>
          <w:rFonts w:ascii="Times New Roman" w:hAnsi="Times New Roman"/>
          <w:b w:val="false"/>
          <w:i/>
          <w:color w:val="000000"/>
          <w:sz w:val="22"/>
        </w:rPr>
        <w:t>“b”</w:t>
      </w:r>
      <w:r>
        <w:rPr>
          <w:rFonts w:ascii="Times New Roman" w:hAnsi="Times New Roman"/>
          <w:b w:val="false"/>
          <w:i w:val="false"/>
          <w:color w:val="000000"/>
          <w:sz w:val="22"/>
        </w:rPr>
        <w:t>(7). The basis of payment for drugs administered to inpatients is through the DRG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approved for drugs and supplies provided to outpatients subject to the same provisions specified in subrules </w:t>
      </w:r>
      <w:hyperlink r:id="rId8">
        <w:r>
          <w:rPr>
            <w:rStyle w:val="Hyperlink"/>
            <w:rFonts w:ascii="Times New Roman" w:hAnsi="Times New Roman"/>
            <w:b w:val="false"/>
            <w:i w:val="false"/>
            <w:color w:val="000000"/>
            <w:sz w:val="22"/>
          </w:rPr>
          <w:t>78.2(1)</w:t>
        </w:r>
      </w:hyperlink>
      <w:r>
        <w:rPr>
          <w:rFonts w:ascii="Times New Roman" w:hAnsi="Times New Roman"/>
          <w:b w:val="false"/>
          <w:i w:val="false"/>
          <w:color w:val="000000"/>
          <w:sz w:val="22"/>
        </w:rPr>
        <w:t xml:space="preserve"> through </w:t>
      </w:r>
      <w:hyperlink r:id="rId9">
        <w:r>
          <w:rPr>
            <w:rStyle w:val="Hyperlink"/>
            <w:rFonts w:ascii="Times New Roman" w:hAnsi="Times New Roman"/>
            <w:b w:val="false"/>
            <w:i w:val="false"/>
            <w:color w:val="000000"/>
            <w:sz w:val="22"/>
          </w:rPr>
          <w:t>78.2(4)</w:t>
        </w:r>
      </w:hyperlink>
      <w:r>
        <w:rPr>
          <w:rFonts w:ascii="Times New Roman" w:hAnsi="Times New Roman"/>
          <w:b w:val="false"/>
          <w:i w:val="false"/>
          <w:color w:val="000000"/>
          <w:sz w:val="22"/>
        </w:rPr>
        <w:t xml:space="preserve">, except for subparagraph </w:t>
      </w:r>
      <w:hyperlink r:id="rId10">
        <w:r>
          <w:rPr>
            <w:rStyle w:val="Hyperlink"/>
            <w:rFonts w:ascii="Times New Roman" w:hAnsi="Times New Roman"/>
            <w:b w:val="false"/>
            <w:i w:val="false"/>
            <w:color w:val="000000"/>
            <w:sz w:val="22"/>
          </w:rPr>
          <w:t>78.2(4)</w:t>
        </w:r>
        <w:r>
          <w:rPr>
            <w:rFonts w:ascii="Times New Roman" w:hAnsi="Times New Roman"/>
            <w:b w:val="false"/>
            <w:i/>
            <w:color w:val="000000"/>
            <w:sz w:val="22"/>
          </w:rPr>
          <w:t>“b”</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The basis of payment for drugs provided to outpatients is through a combination of Medicaid-determined fee schedules and ambulatory payment classification, pursuant to </w:t>
      </w:r>
      <w:hyperlink r:id="rId11">
        <w:r>
          <w:rPr>
            <w:rStyle w:val="Hyperlink"/>
            <w:rFonts w:ascii="Times New Roman" w:hAnsi="Times New Roman"/>
            <w:b w:val="false"/>
            <w:i w:val="false"/>
            <w:color w:val="000000"/>
            <w:sz w:val="22"/>
          </w:rPr>
          <w:t>441—subrule 79.1(16)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order to be paid for the administration of a vaccine covered under the VFC program, a hospital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78.3(6)</w:t>
      </w:r>
      <w:r>
        <w:rPr>
          <w:rFonts w:ascii="Times New Roman" w:hAnsi="Times New Roman"/>
          <w:b w:val="false"/>
          <w:i w:val="false"/>
          <w:color w:val="000000"/>
          <w:sz w:val="22"/>
        </w:rPr>
        <w:t> </w:t>
      </w:r>
      <w:r>
        <w:rPr>
          <w:rFonts w:ascii="Times New Roman" w:hAnsi="Times New Roman"/>
          <w:b w:val="false"/>
          <w:i w:val="false"/>
          <w:color w:val="000000"/>
          <w:sz w:val="22"/>
        </w:rPr>
        <w:t>Payment for nursing care provided by a hospital will be made to those hospitals certified by the department of inspections, appeals, and licensing as meeting the standards for a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w:t>
      </w:r>
      <w:r>
        <w:rPr>
          <w:rFonts w:ascii="Times New Roman" w:hAnsi="Times New Roman"/>
          <w:b w:val="false"/>
          <w:i w:val="false"/>
          <w:color w:val="000000"/>
          <w:sz w:val="22"/>
        </w:rPr>
        <w:t> </w:t>
      </w:r>
      <w:r>
        <w:rPr>
          <w:rFonts w:ascii="Times New Roman" w:hAnsi="Times New Roman"/>
          <w:b w:val="false"/>
          <w:i w:val="false"/>
          <w:color w:val="000000"/>
          <w:sz w:val="22"/>
        </w:rPr>
        <w:t>Payment for inpatient hospital tests for purposes of diagnosis and treatment will be made only when the tests are specifically ordered for the diagnosis and treatment of a particular patient’s condition by the attending physician or other licensed practitioner acting within the scope of practice as defined by law, who is responsible for that patient’s diagnosis 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made for medically necessary inpatient acute psychiatric intensive care services that meet the criteria in this subrule, pursuant to </w:t>
      </w:r>
      <w:hyperlink r:id="rId12">
        <w:r>
          <w:rPr>
            <w:rStyle w:val="Hyperlink"/>
            <w:rFonts w:ascii="Times New Roman" w:hAnsi="Times New Roman"/>
            <w:b w:val="false"/>
            <w:i w:val="false"/>
            <w:color w:val="000000"/>
            <w:sz w:val="22"/>
          </w:rPr>
          <w:t>441—paragraph 79.1(5)</w:t>
        </w:r>
      </w:hyperlink>
      <w:r>
        <w:rPr>
          <w:rFonts w:ascii="Times New Roman" w:hAnsi="Times New Roman"/>
          <w:b w:val="false"/>
          <w:i/>
          <w:color w:val="000000"/>
          <w:sz w:val="22"/>
        </w:rPr>
        <w:t>“i.”</w:t>
      </w:r>
      <w:r>
        <w:rPr>
          <w:rFonts w:ascii="Times New Roman" w:hAnsi="Times New Roman"/>
          <w:b w:val="false"/>
          <w:i w:val="false"/>
          <w:color w:val="000000"/>
          <w:sz w:val="22"/>
        </w:rPr>
        <w:t xml:space="preserve"> This inpatient rate is only applicable to individuals 18 to 64 years of age. All inpatient acute psychiatric intensive care services require prior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“Acute psychiatric intensive care” is defined as care provided for a condition with rapid onset that is accompanied by severe symptoms and is generally of brief duration, requiring emergency treatment and critical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meet the need for acute psychiatric intensive care, the patient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Have a serious and persistent mental illness as defined in </w:t>
      </w:r>
      <w:hyperlink r:id="rId13">
        <w:r>
          <w:rPr>
            <w:rStyle w:val="Hyperlink"/>
            <w:rFonts w:ascii="Times New Roman" w:hAnsi="Times New Roman"/>
            <w:b w:val="false"/>
            <w:i w:val="false"/>
            <w:color w:val="000000"/>
            <w:sz w:val="22"/>
          </w:rPr>
          <w:t>441—subrule 77.25(1)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 current, severe, imminent risk of serious harm to self or others;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Display additional complexity of need related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Complex comorbidities, including intellectual or developmental disability, autism spectrum disorder, substance use disorders, or traumatic brain injuries;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history of violence or current aggression that is secondary to mental illness;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request for patient transfer that has been rejected by inpatient level of care by one or more hospitals due to severity of symptoms;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Lack of responsiveness to typical interventions or a condition that is treatment refractory;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Disorganized psychotic state or manic thought process that impairs the ability to function or risks the safety of the patient or others;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Behavior that causes disruption to the general milieu of the unit (i.e., instigating other patients in negative ways);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High elopement risk;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other atypical reason that the treating mental health provider feels that additional resources are needed to keep the patient and others around the patient safe.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individual must have a documented need for acute intensive care requiring increased or specialized staffing, equipment, or facilities, based on two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Fall precaution protocol in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Restraints or seclusion room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Requiring assistance with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Requirements for complex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Acutely impaired cognitive functioning from baseline;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Documentation of interventions to address acute complex mental illness and comorbidities;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Safety protocols in place to address the physical risk posed to staff, other patients, and infrastructure;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Elopement risk precaution protocol in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78.3(9)</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made for sterilizations in accordance with </w:t>
      </w:r>
      <w:hyperlink r:id="rId14">
        <w:r>
          <w:rPr>
            <w:rStyle w:val="Hyperlink"/>
            <w:rFonts w:ascii="Times New Roman" w:hAnsi="Times New Roman"/>
            <w:b w:val="false"/>
            <w:i w:val="false"/>
            <w:color w:val="000000"/>
            <w:sz w:val="22"/>
          </w:rPr>
          <w:t>78.1(16)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78.3(10)</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approved for organ and tissue transplant services, as specified in subrule </w:t>
      </w:r>
      <w:hyperlink r:id="rId15">
        <w:r>
          <w:rPr>
            <w:rStyle w:val="Hyperlink"/>
            <w:rFonts w:ascii="Times New Roman" w:hAnsi="Times New Roman"/>
            <w:b w:val="false"/>
            <w:i w:val="false"/>
            <w:color w:val="000000"/>
            <w:sz w:val="22"/>
          </w:rPr>
          <w:t>78.1(20)</w:t>
        </w:r>
      </w:hyperlink>
      <w:r>
        <w:rPr>
          <w:rFonts w:ascii="Times New Roman" w:hAnsi="Times New Roman"/>
          <w:b w:val="false"/>
          <w:i w:val="false"/>
          <w:color w:val="000000"/>
          <w:sz w:val="22"/>
        </w:rPr>
        <w:t xml:space="preserve">. Kidney, cornea, skin, bone, allogeneic bone marrow, autologous bone marrow, heart, liver, and lung transplants are covered as specified in subrule </w:t>
      </w:r>
      <w:hyperlink r:id="rId16">
        <w:r>
          <w:rPr>
            <w:rStyle w:val="Hyperlink"/>
            <w:rFonts w:ascii="Times New Roman" w:hAnsi="Times New Roman"/>
            <w:b w:val="false"/>
            <w:i w:val="false"/>
            <w:color w:val="000000"/>
            <w:sz w:val="22"/>
          </w:rPr>
          <w:t>78.1(20)</w:t>
        </w:r>
      </w:hyperlink>
      <w:r>
        <w:rPr>
          <w:rFonts w:ascii="Times New Roman" w:hAnsi="Times New Roman"/>
          <w:b w:val="false"/>
          <w:i w:val="false"/>
          <w:color w:val="000000"/>
          <w:sz w:val="22"/>
        </w:rPr>
        <w:t>. Lung transplants are payable at Medicare-designated lung transplant centers only. Heart and liver transplants are payable when performed at facilities that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Recipient selection and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Selection.</w:t>
      </w:r>
      <w:r>
        <w:rPr>
          <w:rFonts w:ascii="Times New Roman" w:hAnsi="Times New Roman"/>
          <w:b w:val="false"/>
          <w:i w:val="false"/>
          <w:color w:val="000000"/>
          <w:sz w:val="22"/>
        </w:rPr>
        <w:t xml:space="preserve"> The transplant center must have written criteria based on medical need for transplantation for final facility selection of recipients. These criteria should include an equitable, consistent and practical protocol for selection of recipients. The criteria must be at least as strict as those specified by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Education.</w:t>
      </w:r>
      <w:r>
        <w:rPr>
          <w:rFonts w:ascii="Times New Roman" w:hAnsi="Times New Roman"/>
          <w:b w:val="false"/>
          <w:i w:val="false"/>
          <w:color w:val="000000"/>
          <w:sz w:val="22"/>
        </w:rPr>
        <w:t xml:space="preserve"> The transplant center will provide a written plan for recipient education. It shall include educational plans for recipient, family and significant others during all phases of the program. These phases shall include:</w:t>
      </w:r>
    </w:p>
    <w:p>
      <w:pPr>
        <w:spacing w:before="0" w:after="0"/>
        <w:ind w:left="120"/>
        <w:jc w:val="both"/>
      </w:pPr>
      <w:r>
        <w:rPr>
          <w:rFonts w:ascii="Times New Roman" w:hAnsi="Times New Roman"/>
          <w:b w:val="false"/>
          <w:i w:val="false"/>
          <w:color w:val="000000"/>
          <w:sz w:val="22"/>
        </w:rPr>
        <w:t>Intake.</w:t>
      </w:r>
    </w:p>
    <w:p>
      <w:pPr>
        <w:spacing w:before="0" w:after="0"/>
        <w:ind w:left="120"/>
        <w:jc w:val="both"/>
      </w:pPr>
      <w:r>
        <w:rPr>
          <w:rFonts w:ascii="Times New Roman" w:hAnsi="Times New Roman"/>
          <w:b w:val="false"/>
          <w:i w:val="false"/>
          <w:color w:val="000000"/>
          <w:sz w:val="22"/>
        </w:rPr>
        <w:t>Preparation and waiting period.</w:t>
      </w:r>
    </w:p>
    <w:p>
      <w:pPr>
        <w:spacing w:before="0" w:after="0"/>
        <w:ind w:left="120"/>
        <w:jc w:val="both"/>
      </w:pPr>
      <w:r>
        <w:rPr>
          <w:rFonts w:ascii="Times New Roman" w:hAnsi="Times New Roman"/>
          <w:b w:val="false"/>
          <w:i w:val="false"/>
          <w:color w:val="000000"/>
          <w:sz w:val="22"/>
        </w:rPr>
        <w:t>Preadmission.</w:t>
      </w:r>
    </w:p>
    <w:p>
      <w:pPr>
        <w:spacing w:before="0" w:after="0"/>
        <w:ind w:left="120"/>
        <w:jc w:val="both"/>
      </w:pPr>
      <w:r>
        <w:rPr>
          <w:rFonts w:ascii="Times New Roman" w:hAnsi="Times New Roman"/>
          <w:b w:val="false"/>
          <w:i w:val="false"/>
          <w:color w:val="000000"/>
          <w:sz w:val="22"/>
        </w:rPr>
        <w:t>Hospitalization.</w:t>
      </w:r>
    </w:p>
    <w:p>
      <w:pPr>
        <w:spacing w:before="0" w:after="0"/>
        <w:ind w:left="120"/>
        <w:jc w:val="both"/>
      </w:pPr>
      <w:r>
        <w:rPr>
          <w:rFonts w:ascii="Times New Roman" w:hAnsi="Times New Roman"/>
          <w:b w:val="false"/>
          <w:i w:val="false"/>
          <w:color w:val="000000"/>
          <w:sz w:val="22"/>
        </w:rPr>
        <w:t>Discharge planning.</w:t>
      </w:r>
    </w:p>
    <w:p>
      <w:pPr>
        <w:spacing w:before="0" w:after="0"/>
        <w:ind w:left="120"/>
        <w:jc w:val="both"/>
      </w:pPr>
      <w:r>
        <w:rPr>
          <w:rFonts w:ascii="Times New Roman" w:hAnsi="Times New Roman"/>
          <w:b w:val="false"/>
          <w:i w:val="false"/>
          <w:color w:val="000000"/>
          <w:sz w:val="22"/>
        </w:rPr>
        <w:t>Follow-up.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Staffing and resource commitment.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Transplant surgeon.</w:t>
      </w:r>
      <w:r>
        <w:rPr>
          <w:rFonts w:ascii="Times New Roman" w:hAnsi="Times New Roman"/>
          <w:b w:val="false"/>
          <w:i w:val="false"/>
          <w:color w:val="000000"/>
          <w:sz w:val="22"/>
        </w:rPr>
        <w:t xml:space="preserve"> The transplant center must have on staff a qualified transplant surgeon.</w:t>
      </w:r>
    </w:p>
    <w:p>
      <w:pPr>
        <w:spacing w:before="0" w:after="0"/>
        <w:ind w:left="120"/>
        <w:jc w:val="both"/>
      </w:pPr>
      <w:r>
        <w:rPr>
          <w:rFonts w:ascii="Times New Roman" w:hAnsi="Times New Roman"/>
          <w:b w:val="false"/>
          <w:i w:val="false"/>
          <w:color w:val="000000"/>
          <w:sz w:val="22"/>
        </w:rPr>
        <w:t>The surgeon must have received at least one year of training at a transplant center approved by the American Society of Transplant Surgeons under the direction of an experienced transplant surgeon and must have had at least two years of experience in all facets of transplant surgery specific to the surgeon’s specialty. This experience must include management of recipients’ presurgical and postsurgical care and actual experience as a member of a transplant team at the institution. The transplant surgeon will have an understanding of the principles of and demonstrated expertise in the use of immunosuppressive therapy.</w:t>
      </w:r>
    </w:p>
    <w:p>
      <w:pPr>
        <w:spacing w:before="0" w:after="0"/>
        <w:ind w:left="120"/>
        <w:jc w:val="both"/>
      </w:pPr>
      <w:r>
        <w:rPr>
          <w:rFonts w:ascii="Times New Roman" w:hAnsi="Times New Roman"/>
          <w:b w:val="false"/>
          <w:i w:val="false"/>
          <w:color w:val="000000"/>
          <w:sz w:val="22"/>
        </w:rPr>
        <w:t>The transplant surgeon will be certified by the American Board of Thoracic Surgery or equivalent for heart transplants and the American Board of Surgery or equivalent for liver transplants.</w:t>
      </w:r>
    </w:p>
    <w:p>
      <w:pPr>
        <w:spacing w:before="0" w:after="0"/>
        <w:ind w:left="120"/>
        <w:jc w:val="both"/>
      </w:pPr>
      <w:r>
        <w:rPr>
          <w:rFonts w:ascii="Times New Roman" w:hAnsi="Times New Roman"/>
          <w:b w:val="false"/>
          <w:i w:val="false"/>
          <w:color w:val="000000"/>
          <w:sz w:val="22"/>
        </w:rPr>
        <w:t>The transplant surgeon will be the defined leader of a stable, established transplant team that has a strong commitment to the transplant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Transplant team.</w:t>
      </w:r>
      <w:r>
        <w:rPr>
          <w:rFonts w:ascii="Times New Roman" w:hAnsi="Times New Roman"/>
          <w:b w:val="false"/>
          <w:i w:val="false"/>
          <w:color w:val="000000"/>
          <w:sz w:val="22"/>
        </w:rPr>
        <w:t xml:space="preserve"> The transplant team will be clearly defined with leadership and corresponding responsibilities of all team members identified. The team should consist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surgeon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board-certified internist or pediatrician with training and expertise in organ transplantation medicine and clinical use of immunosuppressive regimens.</w:t>
      </w:r>
    </w:p>
    <w:p>
      <w:pPr>
        <w:spacing w:before="0" w:after="0"/>
        <w:ind w:left="120"/>
        <w:jc w:val="both"/>
      </w:pPr>
      <w:r>
        <w:rPr>
          <w:rFonts w:ascii="Times New Roman" w:hAnsi="Times New Roman"/>
          <w:b w:val="false"/>
          <w:i w:val="false"/>
          <w:color w:val="000000"/>
          <w:sz w:val="22"/>
        </w:rPr>
        <w:t>The transplant center will assume responsibility for initial training and continuing education of the transplant team and ancillary personnel. The center will maintain records that demonstrate competency in achieving, maintaining and improving skills in the distinct areas of expertise of each of the team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color w:val="000000"/>
          <w:sz w:val="22"/>
        </w:rPr>
        <w:t>Physicians.</w:t>
      </w:r>
      <w:r>
        <w:rPr>
          <w:rFonts w:ascii="Times New Roman" w:hAnsi="Times New Roman"/>
          <w:b w:val="false"/>
          <w:i w:val="false"/>
          <w:color w:val="000000"/>
          <w:sz w:val="22"/>
        </w:rPr>
        <w:t xml:space="preserve"> The transplant center will have on staff or available for consultation physicians with the following areas of expertise: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Anesthesiology.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Cardiology.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Gastroenterology.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Hepatology.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Immunology.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Infectious diseases.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Nephrology.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Neurology.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Pathology.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Pediatrics.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Psychiatry.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Pulmonary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Radiology.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Rehabilitation medicine.</w:t>
      </w:r>
    </w:p>
    <w:p>
      <w:pPr>
        <w:spacing w:before="0" w:after="0"/>
        <w:ind w:left="120"/>
        <w:jc w:val="both"/>
      </w:pPr>
      <w:r>
        <w:rPr>
          <w:rFonts w:ascii="Times New Roman" w:hAnsi="Times New Roman"/>
          <w:b w:val="false"/>
          <w:i w:val="false"/>
          <w:color w:val="000000"/>
          <w:sz w:val="22"/>
        </w:rPr>
        <w:t>Liaison with the recipient’s permanent physician is established for the purpose of providing continuity and management of the recipient’s long-term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color w:val="000000"/>
          <w:sz w:val="22"/>
        </w:rPr>
        <w:t>Support personnel and resources.</w:t>
      </w:r>
      <w:r>
        <w:rPr>
          <w:rFonts w:ascii="Times New Roman" w:hAnsi="Times New Roman"/>
          <w:b w:val="false"/>
          <w:i w:val="false"/>
          <w:color w:val="000000"/>
          <w:sz w:val="22"/>
        </w:rPr>
        <w:t xml:space="preserve"> The center must have a commitment of sufficient resources and planning for implementation and operation of the transplant program. Indicators of the commitment will include persons with expertise in the following areas available at the transplant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Anesthesiology.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Blood bank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Cardiology.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Cardiovascular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Dietary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Gastroenterology.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Infection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Laboratory services (pathology, microbiology, immunology, tissue typing, and immunosuppressive drug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Legal counsel familiar with transplantation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Nursing service department with staff available who have expertise in the care of transplant recipients, especially in managing immunosuppressed patients and hemodynamic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Respiratory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Pharmaceutical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Physical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Psychiatry.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Psychosocial.</w:t>
      </w:r>
    </w:p>
    <w:p>
      <w:pPr>
        <w:spacing w:before="0" w:after="0"/>
        <w:ind w:left="120"/>
        <w:jc w:val="both"/>
      </w:pPr>
      <w:r>
        <w:rPr>
          <w:rFonts w:ascii="Times New Roman" w:hAnsi="Times New Roman"/>
          <w:b w:val="false"/>
          <w:i w:val="false"/>
          <w:color w:val="000000"/>
          <w:sz w:val="22"/>
        </w:rPr>
        <w:t>The center will have active cardiovascular, medical, and surgical programs with the ability and willingness to perform diagnostic and evaluative procedures appropriate to transplants on an emergency and ongoing basis.</w:t>
      </w:r>
    </w:p>
    <w:p>
      <w:pPr>
        <w:spacing w:before="0" w:after="0"/>
        <w:ind w:left="120"/>
        <w:jc w:val="both"/>
      </w:pPr>
      <w:r>
        <w:rPr>
          <w:rFonts w:ascii="Times New Roman" w:hAnsi="Times New Roman"/>
          <w:b w:val="false"/>
          <w:i w:val="false"/>
          <w:color w:val="000000"/>
          <w:sz w:val="22"/>
        </w:rPr>
        <w:t>The center will have designated an adequate number of intensive care and general service beds to support the transplant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color w:val="000000"/>
          <w:sz w:val="22"/>
        </w:rPr>
        <w:t>Laboratory.</w:t>
      </w:r>
      <w:r>
        <w:rPr>
          <w:rFonts w:ascii="Times New Roman" w:hAnsi="Times New Roman"/>
          <w:b w:val="false"/>
          <w:i w:val="false"/>
          <w:color w:val="000000"/>
          <w:sz w:val="22"/>
        </w:rPr>
        <w:t xml:space="preserve"> Each transplant center must have direct local 24-hour per day access to histocompatibility testing facilities. These facilities must meet the Standards for Histocompatibility Testing set forth by the Committee on Quality Assurance and Standards of the American Society for Histocompatibility and Immunogenetics (ASHI) as amended to July 1, 2026. As specified by ASHI, the director of the facility shall hold a doctoral degree in biological science, or be a physician, and subsequent to graduation shall have had four years’ experience in immunology, two of which were devoted to formal training in human histocompatibility testing, documented to be professionally competent by external measures such as national proficiency testing, participation in national or international workshops or publications in peer-reviewed journals. The laboratory must successfully participate in a regional or national testing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Experience and survival rates.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Experience.</w:t>
      </w:r>
      <w:r>
        <w:rPr>
          <w:rFonts w:ascii="Times New Roman" w:hAnsi="Times New Roman"/>
          <w:b w:val="false"/>
          <w:i w:val="false"/>
          <w:color w:val="000000"/>
          <w:sz w:val="22"/>
        </w:rPr>
        <w:t xml:space="preserve"> Centers will be given a minimum volume requirement of 12 heart or 12 liver transplants that should be met within one year. Due to special considerations such as patient case mix or donor availability, an additional one year conditional approval may be given if the minimum volume is not met the first year. For approval of an extrarenal organ transplant program it is highly desirable that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available a complete team of surgeons, physicians, and other specialists with specific experience in transplantation of that organ,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an established approved renal transplant program at that institution and personnel with expertise in the extrarenal organ system itself.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Survival rates.</w:t>
      </w:r>
      <w:r>
        <w:rPr>
          <w:rFonts w:ascii="Times New Roman" w:hAnsi="Times New Roman"/>
          <w:b w:val="false"/>
          <w:i w:val="false"/>
          <w:color w:val="000000"/>
          <w:sz w:val="22"/>
        </w:rPr>
        <w:t xml:space="preserve"> The transplant center will achieve a record of acceptable performance consistent with the performance and outcomes at other successful designated transplant centers. The center will collect and maintain recipient and graft survival and complication rates. A level of satisfactory success and safety will be demonstrated with bases for substantial probability of continued performance at an acceptable level. To encourage a high level of performance, transplant programs must achieve and maintain a minimum one-year patient survival rate of 70 percent for heart transplants and 50 percent for liver transplants.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Organ procurement. </w:t>
      </w:r>
      <w:r>
        <w:rPr>
          <w:rFonts w:ascii="Times New Roman" w:hAnsi="Times New Roman"/>
          <w:b w:val="false"/>
          <w:i w:val="false"/>
          <w:color w:val="000000"/>
          <w:sz w:val="22"/>
        </w:rPr>
        <w:t xml:space="preserve">The transplant center will participate in a nationwide organ procurement and typing network. Detailed plans must exist for organ procurement yielding viable transplantable organs in reasonable numbers, meeting established legal and ethical criteria. The transplant center must be a member of the National Organ Procurement and Transplant Network.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Maintenance of data, research, review and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Maintenance of data.</w:t>
      </w:r>
      <w:r>
        <w:rPr>
          <w:rFonts w:ascii="Times New Roman" w:hAnsi="Times New Roman"/>
          <w:b w:val="false"/>
          <w:i w:val="false"/>
          <w:color w:val="000000"/>
          <w:sz w:val="22"/>
        </w:rPr>
        <w:t xml:space="preserve"> The transplant center will collect and maintain data 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Risk and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Morbidity and mortality.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Long-term survival.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Quality of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Recipient demographic information.</w:t>
      </w:r>
    </w:p>
    <w:p>
      <w:pPr>
        <w:spacing w:before="0" w:after="0"/>
        <w:ind w:left="120"/>
        <w:jc w:val="both"/>
      </w:pPr>
      <w:r>
        <w:rPr>
          <w:rFonts w:ascii="Times New Roman" w:hAnsi="Times New Roman"/>
          <w:b w:val="false"/>
          <w:i w:val="false"/>
          <w:color w:val="000000"/>
          <w:sz w:val="22"/>
        </w:rPr>
        <w:t>These data should be compiled and maintained at the transplant center monthly. The transplant center will submit the above data to the United Network for Organ Sharing yearly.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Research.</w:t>
      </w:r>
      <w:r>
        <w:rPr>
          <w:rFonts w:ascii="Times New Roman" w:hAnsi="Times New Roman"/>
          <w:b w:val="false"/>
          <w:i w:val="false"/>
          <w:color w:val="000000"/>
          <w:sz w:val="22"/>
        </w:rPr>
        <w:t xml:space="preserve"> The transplant center will have a plan for and a commitment to research. Ongoing research regarding the transplanted organs is required. The transplant center will have a program in graduate medical education or have a formal agreement with a teaching institution for affiliation with a graduate medical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color w:val="000000"/>
          <w:sz w:val="22"/>
        </w:rPr>
        <w:t>Review and evaluation.</w:t>
      </w:r>
      <w:r>
        <w:rPr>
          <w:rFonts w:ascii="Times New Roman" w:hAnsi="Times New Roman"/>
          <w:b w:val="false"/>
          <w:i w:val="false"/>
          <w:color w:val="000000"/>
          <w:sz w:val="22"/>
        </w:rPr>
        <w:t xml:space="preserve"> The transplant center will have a plan for ongoing evaluation of the transplantation program. The transplant center will have a detailed plan for review and evaluation of recipient selection, preoperative, operative, postoperative and long-term management of the recipient. The transplant center will conduct concurrent ongoing studies to ensure high quality services are provided in the transplantation program. The transplant center will provide information to members of the transplant team and ancillary staff regarding the findings of the quality assurance studies. This information will be utilized to provide education geared toward interventions to improve staff performance and reduce complications occurring in the transplant process. The transplant center will maintain records of all quality assurance and peer review activities concerning the transplantation program to document identification of problems or potential problems, intervention, education and follow-up.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procedure. </w:t>
      </w:r>
      <w:r>
        <w:rPr>
          <w:rFonts w:ascii="Times New Roman" w:hAnsi="Times New Roman"/>
          <w:b w:val="false"/>
          <w:i w:val="false"/>
          <w:color w:val="000000"/>
          <w:sz w:val="22"/>
        </w:rPr>
        <w:t>A Medicare-designated heart, liver, or lung transplant facility needs only to submit evidence of this designation to Iowa Medicaid. The application procedure for other heart and liver facilities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original and two copies of the application must be submitted on 8½-by-11-inch paper, signed by a person authorized to do so. The facility must be a participating hospital under Medicaid and must specify its provider number, and the name and telephone number of a contact person should there be questions regarding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and data must be clearly stated, well organized and appropriately indexed to aid in its review against the criteria specified in this rule. Each page must be numbered.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the extent possible, the application should be organized into five sections corresponding to each of the five major criteria and addressing, in order, each of the subcriteria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application should be mailed to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Review and approval of facilities. </w:t>
      </w:r>
      <w:r>
        <w:rPr>
          <w:rFonts w:ascii="Times New Roman" w:hAnsi="Times New Roman"/>
          <w:b w:val="false"/>
          <w:i w:val="false"/>
          <w:color w:val="000000"/>
          <w:sz w:val="22"/>
        </w:rPr>
        <w:t>An organized review committee will be established to evaluate performance and survival statistics and make recommendations regarding approval as a designated transplant center based on acceptable performance standards established by the review organization and approved by the Medicaid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will be established protocol for the systematic evaluation of patient outcome including survival statistics.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Once a facility applies for approval and is approved as a heart or liver transplant facility for Medicaid purposes, it is obliged to report immediately to the department any events or changes that would affect its approved status. Specifically, a facility must report any significant decrease in its experience level or survival rates, the transplantation of patients who do not meet its patient selection criteria, the loss of key members of the transplant team, or any other major changes that could affect the performance of heart or liver transplants at the facility. Changes from the terms of approval may lead to withdrawal of approval for Medicaid coverage of heart or liver transplants performed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78.3(11)</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inpatient hospital care rendered a patient in connection with dental treatment only when the mental, physical, or emotional condition of the patient prevents the dentist from providing this necessary care in the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78.3(12)</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approved for an assessment fee as specified in 441—paragraphs </w:t>
      </w:r>
      <w:hyperlink r:id="rId17">
        <w:r>
          <w:rPr>
            <w:rStyle w:val="Hyperlink"/>
            <w:rFonts w:ascii="Times New Roman" w:hAnsi="Times New Roman"/>
            <w:b w:val="false"/>
            <w:i w:val="false"/>
            <w:color w:val="000000"/>
            <w:sz w:val="22"/>
          </w:rPr>
          <w:t>79.1(16)</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r>
        <w:rPr>
          <w:rFonts w:ascii="Times New Roman" w:hAnsi="Times New Roman"/>
          <w:b w:val="false"/>
          <w:i/>
          <w:color w:val="000000"/>
          <w:sz w:val="22"/>
        </w:rPr>
        <w:t>“r”</w:t>
      </w:r>
      <w:r>
        <w:rPr>
          <w:rFonts w:ascii="Times New Roman" w:hAnsi="Times New Roman"/>
          <w:b w:val="false"/>
          <w:i w:val="false"/>
          <w:color w:val="000000"/>
          <w:sz w:val="22"/>
        </w:rPr>
        <w:t xml:space="preserve"> to determine if a medical emergency exists. Medical emergency is defined as a sudden or unforeseen occurrence or combination of circumstances presenting a substantial risk to an individual’s health unless immediate medical treatment is given. The determination of whether a medical emergency exists will be based on the patient’s medical condition including presenting symptoms and medical history prior to treatment or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78.3(13)</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patients in acute hospital beds who are determined by Iowa Medicaid to require the skilled nursing care level of care shall be made at an amount equal to the sum of the direct care rate component limit for Medicare-certified hospital-based nursing facilities pursuant to </w:t>
      </w:r>
      <w:hyperlink r:id="rId18">
        <w:r>
          <w:rPr>
            <w:rStyle w:val="Hyperlink"/>
            <w:rFonts w:ascii="Times New Roman" w:hAnsi="Times New Roman"/>
            <w:b w:val="false"/>
            <w:i w:val="false"/>
            <w:color w:val="000000"/>
            <w:sz w:val="22"/>
          </w:rPr>
          <w:t>441—paragraph 81.5(16)</w:t>
        </w:r>
        <w:r>
          <w:rPr>
            <w:rFonts w:ascii="Times New Roman" w:hAnsi="Times New Roman"/>
            <w:b w:val="false"/>
            <w:i/>
            <w:color w:val="000000"/>
            <w:sz w:val="22"/>
          </w:rPr>
          <w:t>“f”</w:t>
        </w:r>
      </w:hyperlink>
      <w:r>
        <w:rPr>
          <w:rFonts w:ascii="Times New Roman" w:hAnsi="Times New Roman"/>
          <w:b w:val="false"/>
          <w:i w:val="false"/>
          <w:color w:val="000000"/>
          <w:sz w:val="22"/>
        </w:rPr>
        <w:t xml:space="preserve"> plus the non-direct care rate component limit for Medicare-certified hospital-based nursing facilities pursuant to </w:t>
      </w:r>
      <w:hyperlink r:id="rId19">
        <w:r>
          <w:rPr>
            <w:rStyle w:val="Hyperlink"/>
            <w:rFonts w:ascii="Times New Roman" w:hAnsi="Times New Roman"/>
            <w:b w:val="false"/>
            <w:i w:val="false"/>
            <w:color w:val="000000"/>
            <w:sz w:val="22"/>
          </w:rPr>
          <w:t>441—paragraph 81.5(16)</w:t>
        </w:r>
        <w:r>
          <w:rPr>
            <w:rFonts w:ascii="Times New Roman" w:hAnsi="Times New Roman"/>
            <w:b w:val="false"/>
            <w:i/>
            <w:color w:val="000000"/>
            <w:sz w:val="22"/>
          </w:rPr>
          <w:t>“f,”</w:t>
        </w:r>
      </w:hyperlink>
      <w:r>
        <w:rPr>
          <w:rFonts w:ascii="Times New Roman" w:hAnsi="Times New Roman"/>
          <w:b w:val="false"/>
          <w:i w:val="false"/>
          <w:color w:val="000000"/>
          <w:sz w:val="22"/>
        </w:rPr>
        <w:t xml:space="preserve"> with the rate component limits being revised July 1, 2001, and every second year thereafter. This rate is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of the date of notice by Iowa Medicaid that the lower level of care is required,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the days Iowa Medicaid determines in an outlier review that the lower level of care was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78.3(14)</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patients in acute hospital beds who are determined by Iowa Medicaid to require nursing facility level of care shall be made at an amount equal to the sum of the direct care rate component limit for Medicaid nursing facilities pursuant to </w:t>
      </w:r>
      <w:hyperlink r:id="rId20">
        <w:r>
          <w:rPr>
            <w:rStyle w:val="Hyperlink"/>
            <w:rFonts w:ascii="Times New Roman" w:hAnsi="Times New Roman"/>
            <w:b w:val="false"/>
            <w:i w:val="false"/>
            <w:color w:val="000000"/>
            <w:sz w:val="22"/>
          </w:rPr>
          <w:t>441—paragraph 81.5(16)</w:t>
        </w:r>
        <w:r>
          <w:rPr>
            <w:rFonts w:ascii="Times New Roman" w:hAnsi="Times New Roman"/>
            <w:b w:val="false"/>
            <w:i/>
            <w:color w:val="000000"/>
            <w:sz w:val="22"/>
          </w:rPr>
          <w:t>“f”</w:t>
        </w:r>
      </w:hyperlink>
      <w:r>
        <w:rPr>
          <w:rFonts w:ascii="Times New Roman" w:hAnsi="Times New Roman"/>
          <w:b w:val="false"/>
          <w:i w:val="false"/>
          <w:color w:val="000000"/>
          <w:sz w:val="22"/>
        </w:rPr>
        <w:t xml:space="preserve"> plus the non-direct care rate component limit for Medicaid nursing facilities pursuant to </w:t>
      </w:r>
      <w:hyperlink r:id="rId21">
        <w:r>
          <w:rPr>
            <w:rStyle w:val="Hyperlink"/>
            <w:rFonts w:ascii="Times New Roman" w:hAnsi="Times New Roman"/>
            <w:b w:val="false"/>
            <w:i w:val="false"/>
            <w:color w:val="000000"/>
            <w:sz w:val="22"/>
          </w:rPr>
          <w:t>441—paragraph 81.5(16)</w:t>
        </w:r>
        <w:r>
          <w:rPr>
            <w:rFonts w:ascii="Times New Roman" w:hAnsi="Times New Roman"/>
            <w:b w:val="false"/>
            <w:i/>
            <w:color w:val="000000"/>
            <w:sz w:val="22"/>
          </w:rPr>
          <w:t>“f,”</w:t>
        </w:r>
      </w:hyperlink>
      <w:r>
        <w:rPr>
          <w:rFonts w:ascii="Times New Roman" w:hAnsi="Times New Roman"/>
          <w:b w:val="false"/>
          <w:i w:val="false"/>
          <w:color w:val="000000"/>
          <w:sz w:val="22"/>
        </w:rPr>
        <w:t xml:space="preserve"> with the rate component limits being revised July 1, 2001, and every second year thereafter. This rate is effective: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of the date of notice by Iowa Medicaid that the lower level of care is required,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the days Iowa Medicaid determines in an outlier review that the lower level of care was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78.3(15)</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inpatient hospital charges associated with surgical procedures normally done and billed on an outpatient hospital basis is subject to review by Iowa Medicaid. Such reviews are based on random claim samples that are pulled on a monthly basis. If the information on a given inpatient claim included in that sample does not appear to support the appropriateness of inpatient level of care, that claim is sent to the Iowa Medicaid medical director for further review. If the medical director approves the inpatient level of care, the claim is paid. However, if the medical director determines that the care provided could have been rendered at a lower level of care, the hospital and attending physician are notified accordingly. If the hospital agrees with the finding that a lower level of care was appropriate, the hospital submits a new claim for the lower level of care. If the hospital disagrees with the lower level of care finding, the hospital can submit additional documentation for further review. The hospital or attending physician or both may appeal any final determination by Iowa Medicaid pursuant to </w:t>
      </w:r>
      <w:hyperlink r:id="rId22">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78.3(16)</w:t>
      </w:r>
      <w:r>
        <w:rPr>
          <w:rFonts w:ascii="Times New Roman" w:hAnsi="Times New Roman"/>
          <w:b w:val="false"/>
          <w:i w:val="false"/>
          <w:color w:val="000000"/>
          <w:sz w:val="22"/>
        </w:rPr>
        <w:t> </w:t>
      </w:r>
      <w:r>
        <w:rPr>
          <w:rFonts w:ascii="Times New Roman" w:hAnsi="Times New Roman"/>
          <w:b w:val="false"/>
          <w:i w:val="false"/>
          <w:color w:val="000000"/>
          <w:sz w:val="22"/>
        </w:rPr>
        <w:t>Skilled nursing care in “swing beds.”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made for medically necessary skilled nursing care when provided by a hospital participating in the swing-bed program certified by the department of inspections, appeals, and licensing and approved by the U.S. Department of Health and Human Services. Payment shall be at an amount equal to the sum of the direct care rate component limit for Medicare-certified hospital-based nursing facilities pursuant to </w:t>
      </w:r>
      <w:hyperlink r:id="rId23">
        <w:r>
          <w:rPr>
            <w:rStyle w:val="Hyperlink"/>
            <w:rFonts w:ascii="Times New Roman" w:hAnsi="Times New Roman"/>
            <w:b w:val="false"/>
            <w:i w:val="false"/>
            <w:color w:val="000000"/>
            <w:sz w:val="22"/>
          </w:rPr>
          <w:t>441—paragraph 81.5(16)</w:t>
        </w:r>
        <w:r>
          <w:rPr>
            <w:rFonts w:ascii="Times New Roman" w:hAnsi="Times New Roman"/>
            <w:b w:val="false"/>
            <w:i/>
            <w:color w:val="000000"/>
            <w:sz w:val="22"/>
          </w:rPr>
          <w:t>“f”</w:t>
        </w:r>
      </w:hyperlink>
      <w:r>
        <w:rPr>
          <w:rFonts w:ascii="Times New Roman" w:hAnsi="Times New Roman"/>
          <w:b w:val="false"/>
          <w:i w:val="false"/>
          <w:color w:val="000000"/>
          <w:sz w:val="22"/>
        </w:rPr>
        <w:t xml:space="preserve"> and the non-direct care rate component limit for Medicare-certified hospital-based nursing facilities pursuant to </w:t>
      </w:r>
      <w:hyperlink r:id="rId24">
        <w:r>
          <w:rPr>
            <w:rStyle w:val="Hyperlink"/>
            <w:rFonts w:ascii="Times New Roman" w:hAnsi="Times New Roman"/>
            <w:b w:val="false"/>
            <w:i w:val="false"/>
            <w:color w:val="000000"/>
            <w:sz w:val="22"/>
          </w:rPr>
          <w:t>441—paragraph 81.5(16)</w:t>
        </w:r>
        <w:r>
          <w:rPr>
            <w:rFonts w:ascii="Times New Roman" w:hAnsi="Times New Roman"/>
            <w:b w:val="false"/>
            <w:i/>
            <w:color w:val="000000"/>
            <w:sz w:val="22"/>
          </w:rPr>
          <w:t>“f”</w:t>
        </w:r>
      </w:hyperlink>
      <w:r>
        <w:rPr>
          <w:rFonts w:ascii="Times New Roman" w:hAnsi="Times New Roman"/>
          <w:b w:val="false"/>
          <w:i w:val="false"/>
          <w:color w:val="000000"/>
          <w:sz w:val="22"/>
        </w:rPr>
        <w:t xml:space="preserve"> with the rate component limits being revised July 1, 2001, and every second year thereafter. Swing-bed placement is only intended to be short-term in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payment for skilled nursing care provided in a hospital with a certified swing-bed program, for either initial admission or continued stay, will require prior authorization, subject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hospital has fewer than 100 beds, excluding beds for newborns and intensive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hospital has an existing certification for a swing-bed program, pursuant to paragraph </w:t>
      </w:r>
      <w:hyperlink r:id="rId25">
        <w:r>
          <w:rPr>
            <w:rStyle w:val="Hyperlink"/>
            <w:rFonts w:ascii="Times New Roman" w:hAnsi="Times New Roman"/>
            <w:b w:val="false"/>
            <w:i w:val="false"/>
            <w:color w:val="000000"/>
            <w:sz w:val="22"/>
          </w:rPr>
          <w:t>78.3(16)</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 is being admitted for nursing facility or skilled level of care (if the member has Medicare and skilled coverage has been exhausted).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 part of the discharge planning process for a member requiring ongoing skilled nursing care, the hospital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a level of care (LOC) determination describing a member’s LOC needs, using a department Swing Bed Certification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Contact skilled nursing facilities within a 30-mile radius of the hospital regarding available beds to meet the member’s LOC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Certify that no freestanding skilled nursing facility beds are available for the member within a 30-mile radius of the hospital, which will be able to appropriately meet the member’s needs and that home-based care for the member is not available or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Swing-bed stays beyond 14 days will only be approved when there is no appropriate freestanding nursing facility bed available within a 30-mile radius and home-based care for the member is not available or appropriate, as documented by the hospital seeking the swing-bed admission. For the purpose of these criteria, an “appropriate” nursing facility bed is a bed in a Medicaid-participating freestanding nursing facility that provides the LOC required for the member’s medical condition and corresponding LOC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Medicaid member who has been in a swing bed beyond 14 days must be discharged to an appropriate nursing facility bed within a 30-mile radius of the swing-bed hospital or to appropriate home-based care within 72 hours of an appropriate nursing facility bed becoming available.</w:t>
      </w:r>
    </w:p>
    <w:p>
      <w:pPr>
        <w:spacing w:before="0" w:after="0"/>
        <w:ind w:left="120"/>
        <w:jc w:val="both"/>
      </w:pPr>
      <w:r>
        <w:rPr>
          <w:rFonts w:ascii="Times New Roman" w:hAnsi="Times New Roman"/>
          <w:b w:val="false"/>
          <w:i w:val="false"/>
          <w:color w:val="000000"/>
          <w:sz w:val="22"/>
        </w:rPr>
        <w:t>Preadmission screening and resident review (PASRR) rules still apply for members being transferred to a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78.3(17)</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78.3(18)</w:t>
      </w:r>
      <w:r>
        <w:rPr>
          <w:rFonts w:ascii="Times New Roman" w:hAnsi="Times New Roman"/>
          <w:b w:val="false"/>
          <w:i w:val="false"/>
          <w:color w:val="000000"/>
          <w:sz w:val="22"/>
        </w:rPr>
        <w:t> </w:t>
      </w:r>
      <w:r>
        <w:rPr>
          <w:rFonts w:ascii="Times New Roman" w:hAnsi="Times New Roman"/>
          <w:b w:val="false"/>
          <w:i w:val="false"/>
          <w:color w:val="000000"/>
          <w:sz w:val="22"/>
        </w:rPr>
        <w:t xml:space="preserve">Preprocedure review by Iowa Medicaid is required if hospitals are to be reimbursed for certain frequently performed surgical procedures as set forth under subrule </w:t>
      </w:r>
      <w:hyperlink r:id="rId26">
        <w:r>
          <w:rPr>
            <w:rStyle w:val="Hyperlink"/>
            <w:rFonts w:ascii="Times New Roman" w:hAnsi="Times New Roman"/>
            <w:b w:val="false"/>
            <w:i w:val="false"/>
            <w:color w:val="000000"/>
            <w:sz w:val="22"/>
          </w:rPr>
          <w:t>78.1(19)</w:t>
        </w:r>
      </w:hyperlink>
      <w:r>
        <w:rPr>
          <w:rFonts w:ascii="Times New Roman" w:hAnsi="Times New Roman"/>
          <w:b w:val="false"/>
          <w:i w:val="false"/>
          <w:color w:val="000000"/>
          <w:sz w:val="22"/>
        </w:rPr>
        <w:t>. Preprocedure review is also required for other types of major surgical procedures, such as organ transplants. Criteria are available from Iowa Medicaid.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2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8.31.pdf" Type="http://schemas.openxmlformats.org/officeDocument/2006/relationships/hyperlink" Id="rId4"/>
    <Relationship TargetMode="External" Target="https://www.legis.iowa.gov/docs/iac/rule/441.79.1.pdf" Type="http://schemas.openxmlformats.org/officeDocument/2006/relationships/hyperlink" Id="rId5"/>
    <Relationship TargetMode="External" Target="https://www.legis.iowa.gov/docs/iac/rule/441.78.2.pdf" Type="http://schemas.openxmlformats.org/officeDocument/2006/relationships/hyperlink" Id="rId6"/>
    <Relationship TargetMode="External" Target="https://www.legis.iowa.gov/docs/iac/rule/441.78.2.pdf" Type="http://schemas.openxmlformats.org/officeDocument/2006/relationships/hyperlink" Id="rId7"/>
    <Relationship TargetMode="External" Target="https://www.legis.iowa.gov/docs/iac/rule/441.78.2.pdf" Type="http://schemas.openxmlformats.org/officeDocument/2006/relationships/hyperlink" Id="rId8"/>
    <Relationship TargetMode="External" Target="https://www.legis.iowa.gov/docs/iac/rule/441.78.2.pdf" Type="http://schemas.openxmlformats.org/officeDocument/2006/relationships/hyperlink" Id="rId9"/>
    <Relationship TargetMode="External" Target="https://www.legis.iowa.gov/docs/iac/rule/441.78.2.pdf" Type="http://schemas.openxmlformats.org/officeDocument/2006/relationships/hyperlink" Id="rId10"/>
    <Relationship TargetMode="External" Target="https://www.legis.iowa.gov/docs/iac/rule/441.79.1.pdf" Type="http://schemas.openxmlformats.org/officeDocument/2006/relationships/hyperlink" Id="rId11"/>
    <Relationship TargetMode="External" Target="https://www.legis.iowa.gov/docs/iac/rule/441.79.1.pdf" Type="http://schemas.openxmlformats.org/officeDocument/2006/relationships/hyperlink" Id="rId12"/>
    <Relationship TargetMode="External" Target="https://www.legis.iowa.gov/docs/iac/rule/441.77.25.pdf" Type="http://schemas.openxmlformats.org/officeDocument/2006/relationships/hyperlink" Id="rId13"/>
    <Relationship TargetMode="External" Target="https://www.legis.iowa.gov/docs/iac/rule/441.78.1.pdf" Type="http://schemas.openxmlformats.org/officeDocument/2006/relationships/hyperlink" Id="rId14"/>
    <Relationship TargetMode="External" Target="https://www.legis.iowa.gov/docs/iac/rule/441.78.1.pdf" Type="http://schemas.openxmlformats.org/officeDocument/2006/relationships/hyperlink" Id="rId15"/>
    <Relationship TargetMode="External" Target="https://www.legis.iowa.gov/docs/iac/rule/441.78.1.pdf" Type="http://schemas.openxmlformats.org/officeDocument/2006/relationships/hyperlink" Id="rId16"/>
    <Relationship TargetMode="External" Target="https://www.legis.iowa.gov/docs/iac/rule/441.79.1.pdf" Type="http://schemas.openxmlformats.org/officeDocument/2006/relationships/hyperlink" Id="rId17"/>
    <Relationship TargetMode="External" Target="https://www.legis.iowa.gov/docs/iac/rule/441.81.5.pdf" Type="http://schemas.openxmlformats.org/officeDocument/2006/relationships/hyperlink" Id="rId18"/>
    <Relationship TargetMode="External" Target="https://www.legis.iowa.gov/docs/iac/rule/441.81.5.pdf" Type="http://schemas.openxmlformats.org/officeDocument/2006/relationships/hyperlink" Id="rId19"/>
    <Relationship TargetMode="External" Target="https://www.legis.iowa.gov/docs/iac/rule/441.81.5.pdf" Type="http://schemas.openxmlformats.org/officeDocument/2006/relationships/hyperlink" Id="rId20"/>
    <Relationship TargetMode="External" Target="https://www.legis.iowa.gov/docs/iac/rule/441.81.5.pdf" Type="http://schemas.openxmlformats.org/officeDocument/2006/relationships/hyperlink" Id="rId21"/>
    <Relationship TargetMode="External" Target="https://www.legis.iowa.gov/docs/iac/chapter/441.2506.pdf" Type="http://schemas.openxmlformats.org/officeDocument/2006/relationships/hyperlink" Id="rId22"/>
    <Relationship TargetMode="External" Target="https://www.legis.iowa.gov/docs/iac/rule/441.81.5.pdf" Type="http://schemas.openxmlformats.org/officeDocument/2006/relationships/hyperlink" Id="rId23"/>
    <Relationship TargetMode="External" Target="https://www.legis.iowa.gov/docs/iac/rule/441.81.5.pdf" Type="http://schemas.openxmlformats.org/officeDocument/2006/relationships/hyperlink" Id="rId24"/>
    <Relationship TargetMode="External" Target="https://www.legis.iowa.gov/docs/iac/rule/441.78.3.pdf" Type="http://schemas.openxmlformats.org/officeDocument/2006/relationships/hyperlink" Id="rId25"/>
    <Relationship TargetMode="External" Target="https://www.legis.iowa.gov/docs/iac/rule/441.78.1.pdf" Type="http://schemas.openxmlformats.org/officeDocument/2006/relationships/hyperlink" Id="rId26"/>
    <Relationship Target="footer.xml" Type="http://schemas.openxmlformats.org/officeDocument/2006/relationships/footer" Id="rId2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