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441—78.29</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services. </w:t>
      </w:r>
      <w:r>
        <w:rPr>
          <w:rFonts w:ascii="Times New Roman" w:hAnsi="Times New Roman"/>
          <w:b w:val="false"/>
          <w:i w:val="false"/>
          <w:color w:val="000000"/>
          <w:sz w:val="22"/>
        </w:rPr>
        <w:t>Payment will be made for medically necessary behavioral health services provided by a participating marital and family therapist, independent social worker, master social worker, mental health counselor, or certified alcohol and drug counselor within the practitioner’s scope of practice pursuant to state law and subject to the limitations and exclusions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and a treatment plan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provided by a licensed master social worker must be provided under the supervision of an independent social worker qualified to participate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Payment will not be approved for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performed without relationship to a specific condition, risk factor,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provided for nonspecific conditions of distress such as job dissatisfaction or general unhappiness.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Sensitivity training, marriage enrichment, assertiveness training, and growth groups or marathons.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only for time spent in face-to-face consultation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 Time spent with members shall be rounded to the quarter hour, where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