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441—78.28</w:t>
      </w:r>
      <w:r>
        <w:rPr>
          <w:rFonts w:ascii="Times New Roman" w:hAnsi="Times New Roman"/>
          <w:b/>
          <w:i w:val="false"/>
          <w:color w:val="000000"/>
          <w:sz w:val="22"/>
        </w:rPr>
        <w:t xml:space="preserve">(249A) </w:t>
      </w:r>
      <w:r>
        <w:rPr>
          <w:rFonts w:ascii="Times New Roman" w:hAnsi="Times New Roman"/>
          <w:b/>
          <w:i w:val="false"/>
          <w:color w:val="000000"/>
          <w:sz w:val="22"/>
        </w:rPr>
        <w:t xml:space="preserve">List of medical services and equipment requiring prior authorization, preprocedure review or preadmission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procedures, and medications prescribed by a physician, PA, or ARNP that are subject to prior authorization or preprocedure review are as follows or as specified in the preferred drug list published by the department pursuant to Iowa Code section </w:t>
      </w:r>
      <w:hyperlink r:id="rId4">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require prior authorization as specified in the preferred drug list published by the department pursuant to Iowa Code section </w:t>
      </w:r>
      <w:hyperlink r:id="rId5">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 For drugs requiring prior authorization, reimbursement will be made for a 72-hour supply dispensed in an emergency when a prior authorization request cannot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Enteral products and enteral delivery pumps and supplies. Payment will be approved pursuant to the criteria in subrule </w:t>
      </w:r>
      <w:hyperlink r:id="rId6">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Speech generating device. Payment will be approved pursuant to the criteria in subrule </w:t>
      </w:r>
      <w:hyperlink r:id="rId7">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Preprocedure review by Iowa Medicaid will be required if payment under Medicaid is to be made for certain frequently performed surgical procedures that have a wide variation in the relative frequency the procedures are performed. Preprocedure surgical review applies to surgeries performed in hospitals (outpatient and inpatient) and ambulatory surgical centers. Approval by Iowa Medicaid will be granted only if the procedures are determined to be medically necessary based on the condition of the patient and on the criteria established by the department. If not approved by Iowa Medicaid, payment will not be made under the program to the physician or to the facility in which the surgery is performed. The criteria are available from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Enclosed beds. Payment will be approved pursuant to the criteria in subrule </w:t>
      </w:r>
      <w:hyperlink r:id="rId8">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Prior authorization is required for external insulin infusion pumps and is granted according to Medicare coverage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Oral nutritional products. Payment will be approved pursuant to the criteria in subrule </w:t>
      </w:r>
      <w:hyperlink r:id="rId9">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Vest airway clearance system. Payment will be approved pursuant to the criteria in subrule </w:t>
      </w:r>
      <w:hyperlink r:id="rId10">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DME rebate agreements. Payment will be approved pursuant to the criteria in subrule </w:t>
      </w:r>
      <w:hyperlink r:id="rId11">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Reimbursement over the established Medicaid fee schedule amount. Payment will be approved pursuant to the criteria in subrule </w:t>
      </w:r>
      <w:hyperlink r:id="rId12">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Bathtub/shower chair, bench. Payment will be approved pursuant to the criteria in subrule </w:t>
      </w:r>
      <w:hyperlink r:id="rId13">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Patient lift, nonstandard. Payment will be approved pursuant to the criteria in subrule </w:t>
      </w:r>
      <w:hyperlink r:id="rId14">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Power wheelchair attendant control. Payment will be approved pursuant to the criteria in subrule </w:t>
      </w:r>
      <w:hyperlink r:id="rId15">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Shower commode chair. Payment will be approved pursuant to the criteria in subrule </w:t>
      </w:r>
      <w:hyperlink r:id="rId16">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Ventilator, secondary. Payment will be approved pursuant to the Medicare coverage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 xml:space="preserve">Customized wheelchairs, subject to the requirements of paragraph </w:t>
      </w:r>
      <w:hyperlink r:id="rId17">
        <w:r>
          <w:rPr>
            <w:rStyle w:val="Hyperlink"/>
            <w:rFonts w:ascii="Times New Roman" w:hAnsi="Times New Roman"/>
            <w:b w:val="false"/>
            <w:i w:val="false"/>
            <w:color w:val="000000"/>
            <w:sz w:val="22"/>
          </w:rPr>
          <w:t>78.10(2)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78.28(2)</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provisions of paragraph </w:t>
      </w:r>
      <w:hyperlink r:id="rId18">
        <w:r>
          <w:rPr>
            <w:rStyle w:val="Hyperlink"/>
            <w:rFonts w:ascii="Times New Roman" w:hAnsi="Times New Roman"/>
            <w:b w:val="false"/>
            <w:i w:val="false"/>
            <w:color w:val="000000"/>
            <w:sz w:val="22"/>
          </w:rPr>
          <w:t>78.28(1)</w:t>
        </w:r>
      </w:hyperlink>
      <w:r>
        <w:rPr>
          <w:rFonts w:ascii="Times New Roman" w:hAnsi="Times New Roman"/>
          <w:b w:val="false"/>
          <w:i/>
          <w:color w:val="000000"/>
          <w:sz w:val="22"/>
        </w:rPr>
        <w:t>“a,”</w:t>
      </w:r>
      <w:r>
        <w:rPr>
          <w:rFonts w:ascii="Times New Roman" w:hAnsi="Times New Roman"/>
          <w:b w:val="false"/>
          <w:i w:val="false"/>
          <w:color w:val="000000"/>
          <w:sz w:val="22"/>
        </w:rPr>
        <w:t xml:space="preserve"> under both Medicaid fee-for-service and managed care administration, at least one form of each of the following drugs for medication-assisted treatment as approved by the United States Food and Drug Administration for treatment of substance use disorder or overdose treatment will be available without prior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Buprenorphine,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Buprenorphine and naloxone combination,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Methadone,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Naltrexone,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Naloxone.</w:t>
      </w:r>
    </w:p>
    <w:p>
      <w:pPr>
        <w:spacing w:before="0" w:after="0"/>
        <w:ind w:left="120"/>
        <w:jc w:val="both"/>
      </w:pPr>
      <w:r>
        <w:rPr>
          <w:rFonts w:ascii="Times New Roman" w:hAnsi="Times New Roman"/>
          <w:b w:val="false"/>
          <w:i w:val="false"/>
          <w:color w:val="000000"/>
          <w:sz w:val="22"/>
        </w:rPr>
        <w:t>For the purpose of this subrule, “medication-assisted treatment” means the medically monitored use of certain substance use disorder medications in combination with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78.28(3)</w:t>
      </w:r>
      <w:r>
        <w:rPr>
          <w:rFonts w:ascii="Times New Roman" w:hAnsi="Times New Roman"/>
          <w:b w:val="false"/>
          <w:i w:val="false"/>
          <w:color w:val="000000"/>
          <w:sz w:val="22"/>
        </w:rPr>
        <w:t> </w:t>
      </w:r>
      <w:r>
        <w:rPr>
          <w:rFonts w:ascii="Times New Roman" w:hAnsi="Times New Roman"/>
          <w:b w:val="false"/>
          <w:i w:val="false"/>
          <w:color w:val="000000"/>
          <w:sz w:val="22"/>
        </w:rPr>
        <w:t>Dental services. Dental services requiring prior approval are outlined in the Iowa Medicaid Dental Provider Manual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78.28(4)</w:t>
      </w:r>
      <w:r>
        <w:rPr>
          <w:rFonts w:ascii="Times New Roman" w:hAnsi="Times New Roman"/>
          <w:b w:val="false"/>
          <w:i w:val="false"/>
          <w:color w:val="000000"/>
          <w:sz w:val="22"/>
        </w:rPr>
        <w:t> </w:t>
      </w:r>
      <w:r>
        <w:rPr>
          <w:rFonts w:ascii="Times New Roman" w:hAnsi="Times New Roman"/>
          <w:b w:val="false"/>
          <w:i w:val="false"/>
          <w:color w:val="000000"/>
          <w:sz w:val="22"/>
        </w:rPr>
        <w:t>Optometric services and ophthalmic materials that must be submitted for prior approval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second lens correction within a 24-month period for members eight years of age and older. Payment will be made when the member’s vision has at least a five-tenths diopter of change in sphere or cylinder or ten-degree change in axis in either eye.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Visual therapy may be authorized when warranted by case history or diagnosis for a period of time not greater than 90 days. Should continued therapy be warranted, the prior approval process should be reaccomplished, accompanied by a report showing satisfactory progress. Approved diagnoses are convergence insufficiency and amblyopia. Visual therapy is not covered when provided by opticians.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Subnormal visual aids where near visual acuity is better than 20/100 at 16 inches, 2M print. Prior authorization is not required if near visual acuity as described above is less than 20/100. Subnormal aids include but are not limited to hand magnifiers, loupes, telescopic spectacles or reverse Galilean telescope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Photochromatic tint. Approval will be given when the member has a documented medical condition that causes photosensitivity and less costly alternatives are inadequate.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Press-on prisms. Approval will be granted for members whose vision cannot be adequately corrected with other covered prisms.</w:t>
      </w:r>
    </w:p>
    <w:p>
      <w:pPr>
        <w:spacing w:before="0" w:after="0"/>
        <w:ind w:left="120"/>
        <w:jc w:val="both"/>
      </w:pPr>
      <w:r>
        <w:rPr>
          <w:rFonts w:ascii="Times New Roman" w:hAnsi="Times New Roman"/>
          <w:b w:val="false"/>
          <w:i w:val="false"/>
          <w:color w:val="000000"/>
          <w:sz w:val="22"/>
        </w:rPr>
        <w:t xml:space="preserve">For all of the above, the optometrist shall furnish sufficient information to clearly establish that these procedures are necessary in terms of the visual condition of the patient pursuant to rule </w:t>
      </w:r>
      <w:hyperlink r:id="rId19">
        <w:r>
          <w:rPr>
            <w:rStyle w:val="Hyperlink"/>
            <w:rFonts w:ascii="Times New Roman" w:hAnsi="Times New Roman"/>
            <w:b w:val="false"/>
            <w:i w:val="false"/>
            <w:color w:val="000000"/>
            <w:sz w:val="22"/>
          </w:rPr>
          <w:t>441—78.7</w:t>
        </w:r>
      </w:hyperlink>
      <w:r>
        <w:rPr>
          <w:rFonts w:ascii="Times New Roman" w:hAnsi="Times New Roman"/>
          <w:b w:val="false"/>
          <w:i w:val="false"/>
          <w:color w:val="000000"/>
          <w:sz w:val="22"/>
        </w:rPr>
        <w:t xml:space="preserve">(249A) and subrule </w:t>
      </w:r>
      <w:hyperlink r:id="rId20">
        <w:r>
          <w:rPr>
            <w:rStyle w:val="Hyperlink"/>
            <w:rFonts w:ascii="Times New Roman" w:hAnsi="Times New Roman"/>
            <w:b w:val="false"/>
            <w:i w:val="false"/>
            <w:color w:val="000000"/>
            <w:sz w:val="22"/>
          </w:rPr>
          <w:t>78.1(18)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78.28(5)</w:t>
      </w:r>
      <w:r>
        <w:rPr>
          <w:rFonts w:ascii="Times New Roman" w:hAnsi="Times New Roman"/>
          <w:b w:val="false"/>
          <w:i w:val="false"/>
          <w:color w:val="000000"/>
          <w:sz w:val="22"/>
        </w:rPr>
        <w:t> </w:t>
      </w:r>
      <w:r>
        <w:rPr>
          <w:rFonts w:ascii="Times New Roman" w:hAnsi="Times New Roman"/>
          <w:b w:val="false"/>
          <w:i w:val="false"/>
          <w:color w:val="000000"/>
          <w:sz w:val="22"/>
        </w:rPr>
        <w:t>Hearing aids that must be submitted for prior approval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Replacement of a hearing aid less than four years old (except when the member is under 21 years of age). The department will approve payment when the original hearing aid is lost or broken beyond repair or there is a significant change in the person’s hearing that would require a different hearing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hearing aid costing more than $650. The department will approve payment for either of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Educational purposes when the member is participating in primary or secondary education or in a postsecondary academic program leading to a degree and an in-office comparison of an analog aid and a digital aid matched (+/- 5dB) for gain and output shows a significant improvement in either speech recognition in quiet or speech recognition in noise or an in-office comparison of two aids, one of which is single channel, shows significantly improved audibility.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Vocational purposes when documentation submitted indicates the necessity, such as varying amounts of background noise in the work environment and a need to converse in order to do the job and an in-office comparison of an analog aid and a digital aid matched (+/- 5dB) for gain and output shows a significant improvement in either speech recognition in quiet or speech recognition in noise or an in-office comparison of two aids, one of which is single channel, shows significantly improved audibility.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78.28(6)</w:t>
      </w:r>
      <w:r>
        <w:rPr>
          <w:rFonts w:ascii="Times New Roman" w:hAnsi="Times New Roman"/>
          <w:b w:val="false"/>
          <w:i w:val="false"/>
          <w:color w:val="000000"/>
          <w:sz w:val="22"/>
        </w:rPr>
        <w:t> </w:t>
      </w:r>
      <w:r>
        <w:rPr>
          <w:rFonts w:ascii="Times New Roman" w:hAnsi="Times New Roman"/>
          <w:b w:val="false"/>
          <w:i w:val="false"/>
          <w:color w:val="000000"/>
          <w:sz w:val="22"/>
        </w:rPr>
        <w:t>Hospital services requiring prior approval, preprocedure review or preadmission review are outlined in the Acute Hospitals Provider Manual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78.28(7)</w:t>
      </w:r>
      <w:r>
        <w:rPr>
          <w:rFonts w:ascii="Times New Roman" w:hAnsi="Times New Roman"/>
          <w:b w:val="false"/>
          <w:i w:val="false"/>
          <w:color w:val="000000"/>
          <w:sz w:val="22"/>
        </w:rPr>
        <w:t> </w:t>
      </w:r>
      <w:r>
        <w:rPr>
          <w:rFonts w:ascii="Times New Roman" w:hAnsi="Times New Roman"/>
          <w:b w:val="false"/>
          <w:i w:val="false"/>
          <w:color w:val="000000"/>
          <w:sz w:val="22"/>
        </w:rPr>
        <w:t>Ambulatory surgical centers are subject to prior approval and preprocedure review as set forth in the Ambulatory Surgical Centers Provider Manual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78.28(8)</w:t>
      </w:r>
      <w:r>
        <w:rPr>
          <w:rFonts w:ascii="Times New Roman" w:hAnsi="Times New Roman"/>
          <w:b w:val="false"/>
          <w:i w:val="false"/>
          <w:color w:val="000000"/>
          <w:sz w:val="22"/>
        </w:rPr>
        <w:t> </w:t>
      </w:r>
      <w:r>
        <w:rPr>
          <w:rFonts w:ascii="Times New Roman" w:hAnsi="Times New Roman"/>
          <w:b w:val="false"/>
          <w:i w:val="false"/>
          <w:color w:val="000000"/>
          <w:sz w:val="22"/>
        </w:rPr>
        <w:t xml:space="preserve">All assertive community treatment (ACT) services require prior approval. </w:t>
      </w:r>
      <w:r>
        <w:rPr>
          <w:rFonts w:ascii="Times New Roman" w:hAnsi="Times New Roman"/>
          <w:b w:val="false"/>
          <w:i w:val="false"/>
          <w:color w:val="000000"/>
          <w:sz w:val="22"/>
        </w:rPr>
        <w:t>EXCEPTION</w:t>
      </w:r>
      <w:r>
        <w:rPr>
          <w:rFonts w:ascii="Times New Roman" w:hAnsi="Times New Roman"/>
          <w:b w:val="false"/>
          <w:i w:val="false"/>
          <w:color w:val="000000"/>
          <w:sz w:val="22"/>
        </w:rPr>
        <w:t>: If ACT services are initiated before Medicaid eligibility is established, prior approval is required for ACT services beginning with the second month following notice of Medicaid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Approval will be granted if ACT services are determined to be medically necessary. Approval will be limited to no more than 180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new prior approval must be obtained to continue ACT services after the expiration of a previous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78.28(9)</w:t>
      </w:r>
      <w:r>
        <w:rPr>
          <w:rFonts w:ascii="Times New Roman" w:hAnsi="Times New Roman"/>
          <w:b w:val="false"/>
          <w:i w:val="false"/>
          <w:color w:val="000000"/>
          <w:sz w:val="22"/>
        </w:rPr>
        <w:t> </w:t>
      </w:r>
      <w:r>
        <w:rPr>
          <w:rFonts w:ascii="Times New Roman" w:hAnsi="Times New Roman"/>
          <w:b w:val="false"/>
          <w:i w:val="false"/>
          <w:color w:val="000000"/>
          <w:sz w:val="22"/>
        </w:rPr>
        <w:t>Nursing, psychosocial, developmental therapies and personal care services provided by a licensed child care center for members aged 20 or under require prior approval and will be approved if the services are determined to be medically necessary. The request for prior authorization shall include a nursing assessment, the plan of care, and supporting documentation and shall identify the types and service delivery levels of all other services provided to the member whether or not the services are reimbursable by Medicaid. Providers shall indicate the expected number of nursing, home health aide or behavior intervention hours per day, the number of days per week, and the number of weeks or months of service based on the plan of care using a combined hourly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78.28(10)</w:t>
      </w:r>
      <w:r>
        <w:rPr>
          <w:rFonts w:ascii="Times New Roman" w:hAnsi="Times New Roman"/>
          <w:b w:val="false"/>
          <w:i w:val="false"/>
          <w:color w:val="000000"/>
          <w:sz w:val="22"/>
        </w:rPr>
        <w:t> </w:t>
      </w:r>
      <w:r>
        <w:rPr>
          <w:rFonts w:ascii="Times New Roman" w:hAnsi="Times New Roman"/>
          <w:b w:val="false"/>
          <w:i w:val="false"/>
          <w:color w:val="000000"/>
          <w:sz w:val="22"/>
        </w:rPr>
        <w:t>Private duty nursing or personal care services provided by a home health agency provider for persons aged 20 or under require prior approval and will be approved if determined to be medically necessary. Payment will be made on an hourly unit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Private duty nursing services are those services provided by a registered nurse or a licensed practical nurse under the direction of the member’s physician to a member in the member’s place of residence or outside the member’s residence, when normal life activities take the member outside the place of residence. Place of residence does not include nursing facilities, ICFs/ID, or hospitals.</w:t>
      </w:r>
    </w:p>
    <w:p>
      <w:pPr>
        <w:spacing w:before="0" w:after="0"/>
        <w:ind w:left="120"/>
        <w:jc w:val="both"/>
      </w:pPr>
      <w:r>
        <w:rPr>
          <w:rFonts w:ascii="Times New Roman" w:hAnsi="Times New Roman"/>
          <w:b w:val="false"/>
          <w:i w:val="false"/>
          <w:color w:val="000000"/>
          <w:sz w:val="22"/>
        </w:rPr>
        <w:t xml:space="preserve">Services shall be provided according to a written plan of care authorized by a licensed physician. The home health agency is encouraged to collaborate with the member, or in the case of a child with the child’s caregiver, in the development and implementation of the plan of treatment. These services shall exceed intermittent guidelines as defined in subrule </w:t>
      </w:r>
      <w:hyperlink r:id="rId21">
        <w:r>
          <w:rPr>
            <w:rStyle w:val="Hyperlink"/>
            <w:rFonts w:ascii="Times New Roman" w:hAnsi="Times New Roman"/>
            <w:b w:val="false"/>
            <w:i w:val="false"/>
            <w:color w:val="000000"/>
            <w:sz w:val="22"/>
          </w:rPr>
          <w:t>78.9(3)</w:t>
        </w:r>
      </w:hyperlink>
      <w:r>
        <w:rPr>
          <w:rFonts w:ascii="Times New Roman" w:hAnsi="Times New Roman"/>
          <w:b w:val="false"/>
          <w:i w:val="false"/>
          <w:color w:val="000000"/>
          <w:sz w:val="22"/>
        </w:rPr>
        <w:t>. Private duty nursing and personal care services shall be inclusive of all home health agency services personally provided to the member.</w:t>
      </w:r>
    </w:p>
    <w:p>
      <w:pPr>
        <w:spacing w:before="0" w:after="0"/>
        <w:ind w:left="120"/>
        <w:jc w:val="both"/>
      </w:pPr>
      <w:r>
        <w:rPr>
          <w:rFonts w:ascii="Times New Roman" w:hAnsi="Times New Roman"/>
          <w:b w:val="false"/>
          <w:i w:val="false"/>
          <w:color w:val="000000"/>
          <w:sz w:val="22"/>
        </w:rPr>
        <w:t>Private duty nursing services do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Respite care, which is a temporary intermission or period of rest for the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Nurse supervision services including chart review, case discussion or scheduling by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Services provided to other persons in the member’s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Services requiring prior authorization that are provided without regard to the prior authorization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 care services are those services provided by a home health aide or certified nurse’s aide and that are delegated and supervised by a registered nurse under the direction of the member’s physician to a member in the member’s place of residence or outside the member’s residence, when normal life activities take the member outside the place of residence. Place of residence does not include nursing facilities, ICFs/ID, or hospitals. Payment for personal care services for persons aged 20 and under that exceed intermittent guidelines may be approved if determined to be medically necessary as defined in subrule </w:t>
      </w:r>
      <w:hyperlink r:id="rId22">
        <w:r>
          <w:rPr>
            <w:rStyle w:val="Hyperlink"/>
            <w:rFonts w:ascii="Times New Roman" w:hAnsi="Times New Roman"/>
            <w:b w:val="false"/>
            <w:i w:val="false"/>
            <w:color w:val="000000"/>
            <w:sz w:val="22"/>
          </w:rPr>
          <w:t>78.9(7)</w:t>
        </w:r>
      </w:hyperlink>
      <w:r>
        <w:rPr>
          <w:rFonts w:ascii="Times New Roman" w:hAnsi="Times New Roman"/>
          <w:b w:val="false"/>
          <w:i w:val="false"/>
          <w:color w:val="000000"/>
          <w:sz w:val="22"/>
        </w:rPr>
        <w:t>. These services shall be in accordance with the member’s plan of care and authorized by a physician. The home health agency is encouraged to collaborate with the member, or in the case of a child with the child’s caregiver, in the development and implementation of the plan of treatment.</w:t>
      </w:r>
    </w:p>
    <w:p>
      <w:pPr>
        <w:spacing w:before="0" w:after="0"/>
        <w:ind w:left="120"/>
        <w:jc w:val="both"/>
      </w:pPr>
      <w:r>
        <w:rPr>
          <w:rFonts w:ascii="Times New Roman" w:hAnsi="Times New Roman"/>
          <w:b w:val="false"/>
          <w:i w:val="false"/>
          <w:color w:val="000000"/>
          <w:sz w:val="22"/>
        </w:rPr>
        <w:t>Medical necessity means the service is reasonably calculated to prevent, diagnose, correct, cure, alleviate or prevent the worsening of conditions that endanger life, cause pain, result in illness or infirmity, threaten to cause or aggravate a disability or chronic illness, and no other equally effective course of treatment is available or suitable for the member requesting a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Private duty nursing or personal care services shall be ordered in writing by a physician as evidenced by the physician’s signature on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Private duty nursing or personal care services will be authorized by the department or the department’s designated review agent prior to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Prior authorization shall be requested at the time of initial submission of the plan of care or at any time the plan of care is substantially amended and will be renewed with the department or the department’s designated review agent. Initial request for and request for renewal of prior authorization shall be submitted to the department’s designated review agent. The provider of the service is responsible for requesting prior authorization and for obtaining renewal of prior authorization.</w:t>
      </w:r>
    </w:p>
    <w:p>
      <w:pPr>
        <w:spacing w:before="0" w:after="0"/>
        <w:ind w:left="120"/>
        <w:jc w:val="both"/>
      </w:pPr>
      <w:r>
        <w:rPr>
          <w:rFonts w:ascii="Times New Roman" w:hAnsi="Times New Roman"/>
          <w:b w:val="false"/>
          <w:i w:val="false"/>
          <w:color w:val="000000"/>
          <w:sz w:val="22"/>
        </w:rPr>
        <w:t>The request for prior authorization shall include a nursing assessment, the plan of care, and supporting documentation. The request for prior authorization shall include all items previously identified as required treatment plan information and shall further include: any planned surgical interventions and projected time frame; information regarding caregiver’s desire to become involved in the member’s care, to adhere to program objectives, to work toward treatment plan goals, and to work toward maximum independence; and identify the types and service delivery levels of all other services to the member whether or not the services are reimbursable by Medicaid. Providers shall indicate the expected number of private duty nursing RN hours, private duty nursing LPN hours, or home health aide hours per day, the number of days per week, and the number of weeks or months of service per discipline. If the member is currently hospitalized, the projected date of discharge shall be included.</w:t>
      </w:r>
    </w:p>
    <w:p>
      <w:pPr>
        <w:spacing w:before="0" w:after="0"/>
        <w:ind w:left="120"/>
        <w:jc w:val="both"/>
      </w:pPr>
      <w:r>
        <w:rPr>
          <w:rFonts w:ascii="Times New Roman" w:hAnsi="Times New Roman"/>
          <w:b w:val="false"/>
          <w:i w:val="false"/>
          <w:color w:val="000000"/>
          <w:sz w:val="22"/>
        </w:rPr>
        <w:t>Prior authorization approvals will not be granted for treatment plans that exceed 16 hours of home health agency services per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78.28(11)</w:t>
      </w:r>
      <w:r>
        <w:rPr>
          <w:rFonts w:ascii="Times New Roman" w:hAnsi="Times New Roman"/>
          <w:b w:val="false"/>
          <w:i w:val="false"/>
          <w:color w:val="000000"/>
          <w:sz w:val="22"/>
        </w:rPr>
        <w:t> </w:t>
      </w:r>
      <w:r>
        <w:rPr>
          <w:rFonts w:ascii="Times New Roman" w:hAnsi="Times New Roman"/>
          <w:b w:val="false"/>
          <w:i w:val="false"/>
          <w:color w:val="000000"/>
          <w:sz w:val="22"/>
        </w:rPr>
        <w:t>Replacement of vibrotactile aids less than four years old will be approved when the original aid is broken beyond repair or lost.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78.28(12)</w:t>
      </w:r>
      <w:r>
        <w:rPr>
          <w:rFonts w:ascii="Times New Roman" w:hAnsi="Times New Roman"/>
          <w:b w:val="false"/>
          <w:i w:val="false"/>
          <w:color w:val="000000"/>
          <w:sz w:val="22"/>
        </w:rPr>
        <w:t> </w:t>
      </w:r>
      <w:r>
        <w:rPr>
          <w:rFonts w:ascii="Times New Roman" w:hAnsi="Times New Roman"/>
          <w:b w:val="false"/>
          <w:i w:val="false"/>
          <w:color w:val="000000"/>
          <w:sz w:val="22"/>
        </w:rPr>
        <w:t>High-technology radiology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23">
        <w:r>
          <w:rPr>
            <w:rStyle w:val="Hyperlink"/>
            <w:rFonts w:ascii="Times New Roman" w:hAnsi="Times New Roman"/>
            <w:b w:val="false"/>
            <w:i w:val="false"/>
            <w:color w:val="000000"/>
            <w:sz w:val="22"/>
          </w:rPr>
          <w:t>78.28(12)</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following radiology procedures require prior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Magnetic resonance imaging (MRIs);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Computed tomography (CTs), including combined abdomen and pelvis CT scans;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Computed tomographic angiographs (CTAs);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Positron emission tomography (PETs);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Magnetic resonance angiography (MRAs).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hyperlink r:id="rId24">
        <w:r>
          <w:rPr>
            <w:rStyle w:val="Hyperlink"/>
            <w:rFonts w:ascii="Times New Roman" w:hAnsi="Times New Roman"/>
            <w:b w:val="false"/>
            <w:i w:val="false"/>
            <w:color w:val="000000"/>
            <w:sz w:val="22"/>
          </w:rPr>
          <w:t>78.28(12)</w:t>
        </w:r>
      </w:hyperlink>
      <w:r>
        <w:rPr>
          <w:rFonts w:ascii="Times New Roman" w:hAnsi="Times New Roman"/>
          <w:b w:val="false"/>
          <w:i/>
          <w:color w:val="000000"/>
          <w:sz w:val="22"/>
        </w:rPr>
        <w:t>“a,”</w:t>
      </w:r>
      <w:r>
        <w:rPr>
          <w:rFonts w:ascii="Times New Roman" w:hAnsi="Times New Roman"/>
          <w:b w:val="false"/>
          <w:i w:val="false"/>
          <w:color w:val="000000"/>
          <w:sz w:val="22"/>
        </w:rPr>
        <w:t xml:space="preserve"> prior authorization is not required when any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Radiology procedures are billed on a CMS 1500 claim for places of service “hospital inpatient” (POS 21) or “hospital emergency room” (POS 23), or on a UB04 claim with revenue code 45X;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has Medicare coverage;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radiology procedure is ordered or requested by the department, a state district court, law enforcement, or other similar entity for the purposes of a child abuse/neglect investigation, as documented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approval will be granted if the procedure requested meets the requirements of </w:t>
      </w:r>
      <w:hyperlink r:id="rId25">
        <w:r>
          <w:rPr>
            <w:rStyle w:val="Hyperlink"/>
            <w:rFonts w:ascii="Times New Roman" w:hAnsi="Times New Roman"/>
            <w:b w:val="false"/>
            <w:i w:val="false"/>
            <w:color w:val="000000"/>
            <w:sz w:val="22"/>
          </w:rPr>
          <w:t>441—subrule 79.10(2)</w:t>
        </w:r>
      </w:hyperlink>
      <w:r>
        <w:rPr>
          <w:rFonts w:ascii="Times New Roman" w:hAnsi="Times New Roman"/>
          <w:b w:val="false"/>
          <w:i w:val="false"/>
          <w:color w:val="000000"/>
          <w:sz w:val="22"/>
        </w:rPr>
        <w:t>, based on diagnosis, symptoms, history of illness, course of treatment, and treatment plan, as documented by the provider requesting prior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Required requests for prior approval of radiology procedures must be submitted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 member has received notice of retroactive Medicaid eligibility after receiving a radiology procedure for a date of service prior to the member’s receipt of such notice and otherwise requiring prior approval pursuant to this rule, a retroactive authorization request must be submitted on an Outpatient Prior Authorization Request form and approved before any claim for payment is submitted.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2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49A.20A.pdf" Type="http://schemas.openxmlformats.org/officeDocument/2006/relationships/hyperlink" Id="rId4"/>
    <Relationship TargetMode="External" Target="https://www.legis.iowa.gov/docs/ico/chapter/249A.20A.pdf" Type="http://schemas.openxmlformats.org/officeDocument/2006/relationships/hyperlink" Id="rId5"/>
    <Relationship TargetMode="External" Target="https://www.legis.iowa.gov/docs/iac/rule/441.78.10.pdf" Type="http://schemas.openxmlformats.org/officeDocument/2006/relationships/hyperlink" Id="rId6"/>
    <Relationship TargetMode="External" Target="https://www.legis.iowa.gov/docs/iac/rule/441.78.10.pdf" Type="http://schemas.openxmlformats.org/officeDocument/2006/relationships/hyperlink" Id="rId7"/>
    <Relationship TargetMode="External" Target="https://www.legis.iowa.gov/docs/iac/rule/441.78.10.pdf" Type="http://schemas.openxmlformats.org/officeDocument/2006/relationships/hyperlink" Id="rId8"/>
    <Relationship TargetMode="External" Target="https://www.legis.iowa.gov/docs/iac/rule/441.78.10.pdf" Type="http://schemas.openxmlformats.org/officeDocument/2006/relationships/hyperlink" Id="rId9"/>
    <Relationship TargetMode="External" Target="https://www.legis.iowa.gov/docs/iac/rule/441.78.10.pdf" Type="http://schemas.openxmlformats.org/officeDocument/2006/relationships/hyperlink" Id="rId10"/>
    <Relationship TargetMode="External" Target="https://www.legis.iowa.gov/docs/iac/rule/441.78.10.pdf" Type="http://schemas.openxmlformats.org/officeDocument/2006/relationships/hyperlink" Id="rId11"/>
    <Relationship TargetMode="External" Target="https://www.legis.iowa.gov/docs/iac/rule/441.78.10.pdf" Type="http://schemas.openxmlformats.org/officeDocument/2006/relationships/hyperlink" Id="rId12"/>
    <Relationship TargetMode="External" Target="https://www.legis.iowa.gov/docs/iac/rule/441.78.10.pdf" Type="http://schemas.openxmlformats.org/officeDocument/2006/relationships/hyperlink" Id="rId13"/>
    <Relationship TargetMode="External" Target="https://www.legis.iowa.gov/docs/iac/rule/441.78.10.pdf" Type="http://schemas.openxmlformats.org/officeDocument/2006/relationships/hyperlink" Id="rId14"/>
    <Relationship TargetMode="External" Target="https://www.legis.iowa.gov/docs/iac/rule/441.78.10.pdf" Type="http://schemas.openxmlformats.org/officeDocument/2006/relationships/hyperlink" Id="rId15"/>
    <Relationship TargetMode="External" Target="https://www.legis.iowa.gov/docs/iac/rule/441.78.10.pdf" Type="http://schemas.openxmlformats.org/officeDocument/2006/relationships/hyperlink" Id="rId16"/>
    <Relationship TargetMode="External" Target="https://www.legis.iowa.gov/docs/iac/rule/441.78.10.pdf" Type="http://schemas.openxmlformats.org/officeDocument/2006/relationships/hyperlink" Id="rId17"/>
    <Relationship TargetMode="External" Target="https://www.legis.iowa.gov/docs/iac/rule/441.78.28.pdf" Type="http://schemas.openxmlformats.org/officeDocument/2006/relationships/hyperlink" Id="rId18"/>
    <Relationship TargetMode="External" Target="https://www.legis.iowa.gov/docs/iac/rule/441.78.7.pdf" Type="http://schemas.openxmlformats.org/officeDocument/2006/relationships/hyperlink" Id="rId19"/>
    <Relationship TargetMode="External" Target="https://www.legis.iowa.gov/docs/iac/rule/441.78.1.pdf" Type="http://schemas.openxmlformats.org/officeDocument/2006/relationships/hyperlink" Id="rId20"/>
    <Relationship TargetMode="External" Target="https://www.legis.iowa.gov/docs/iac/rule/441.78.9.pdf" Type="http://schemas.openxmlformats.org/officeDocument/2006/relationships/hyperlink" Id="rId21"/>
    <Relationship TargetMode="External" Target="https://www.legis.iowa.gov/docs/iac/rule/441.78.9.pdf" Type="http://schemas.openxmlformats.org/officeDocument/2006/relationships/hyperlink" Id="rId22"/>
    <Relationship TargetMode="External" Target="https://www.legis.iowa.gov/docs/iac/rule/441.78.28.pdf" Type="http://schemas.openxmlformats.org/officeDocument/2006/relationships/hyperlink" Id="rId23"/>
    <Relationship TargetMode="External" Target="https://www.legis.iowa.gov/docs/iac/rule/441.78.28.pdf" Type="http://schemas.openxmlformats.org/officeDocument/2006/relationships/hyperlink" Id="rId24"/>
    <Relationship TargetMode="External" Target="https://www.legis.iowa.gov/docs/iac/rule/441.79.10.pdf" Type="http://schemas.openxmlformats.org/officeDocument/2006/relationships/hyperlink" Id="rId25"/>
    <Relationship Target="footer.xml" Type="http://schemas.openxmlformats.org/officeDocument/2006/relationships/footer" Id="rId2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