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441—78.27</w:t>
      </w:r>
      <w:r>
        <w:rPr>
          <w:rFonts w:ascii="Times New Roman" w:hAnsi="Times New Roman"/>
          <w:b/>
          <w:i w:val="false"/>
          <w:color w:val="000000"/>
          <w:sz w:val="22"/>
        </w:rPr>
        <w:t xml:space="preserve">(249A) </w:t>
      </w:r>
      <w:r>
        <w:rPr>
          <w:rFonts w:ascii="Times New Roman" w:hAnsi="Times New Roman"/>
          <w:b/>
          <w:i w:val="false"/>
          <w:color w:val="000000"/>
          <w:sz w:val="22"/>
        </w:rPr>
        <w:t xml:space="preserve">Home- and community-based habilitation services. </w:t>
      </w:r>
      <w:r>
        <w:rPr>
          <w:rFonts w:ascii="Times New Roman" w:hAnsi="Times New Roman"/>
          <w:b w:val="false"/>
          <w:i w:val="false"/>
          <w:color w:val="000000"/>
          <w:sz w:val="22"/>
        </w:rPr>
        <w:t>Payment for habilitation services will only be made to providers enrolled to provide habilitation through Iowa Medicaid. Payment will only be made for services provided to members in integrated, community-based settings that support full access of members receiving Medicaid HCBS to the greater community, including opportunities to seek employment and work in competitive integrated settings, engage in community life, control personal resources, and receive services in the community, to the same degree of access as individuals not receiving Medicaid HCBS.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78.27(1)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“Adult”</w:t>
      </w:r>
      <w:r>
        <w:rPr>
          <w:rFonts w:ascii="Times New Roman" w:hAnsi="Times New Roman"/>
          <w:b w:val="false"/>
          <w:i w:val="false"/>
          <w:color w:val="000000"/>
          <w:sz w:val="22"/>
        </w:rPr>
        <w:t> </w:t>
      </w:r>
      <w:r>
        <w:rPr>
          <w:rFonts w:ascii="Times New Roman" w:hAnsi="Times New Roman"/>
          <w:b w:val="false"/>
          <w:i w:val="false"/>
          <w:color w:val="000000"/>
          <w:sz w:val="22"/>
        </w:rPr>
        <w:t>means a person who is 18 years of age or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“Assessment”</w:t>
      </w:r>
      <w:r>
        <w:rPr>
          <w:rFonts w:ascii="Times New Roman" w:hAnsi="Times New Roman"/>
          <w:b w:val="false"/>
          <w:i w:val="false"/>
          <w:color w:val="000000"/>
          <w:sz w:val="22"/>
        </w:rPr>
        <w:t> </w:t>
      </w:r>
      <w:r>
        <w:rPr>
          <w:rFonts w:ascii="Times New Roman" w:hAnsi="Times New Roman"/>
          <w:b w:val="false"/>
          <w:i w:val="false"/>
          <w:color w:val="000000"/>
          <w:sz w:val="22"/>
        </w:rPr>
        <w:t>means the review of the current functioning of the member using the service in regard to the member’s situation, needs, strengths, abilities, desires, and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“Benefits education”</w:t>
      </w:r>
      <w:r>
        <w:rPr>
          <w:rFonts w:ascii="Times New Roman" w:hAnsi="Times New Roman"/>
          <w:b w:val="false"/>
          <w:i w:val="false"/>
          <w:color w:val="000000"/>
          <w:sz w:val="22"/>
        </w:rPr>
        <w:t> </w:t>
      </w:r>
      <w:r>
        <w:rPr>
          <w:rFonts w:ascii="Times New Roman" w:hAnsi="Times New Roman"/>
          <w:b w:val="false"/>
          <w:i w:val="false"/>
          <w:color w:val="000000"/>
          <w:sz w:val="22"/>
        </w:rPr>
        <w:t>means providing basic information to understand and access appropriate resources to pursue employment, and knowledge of work incentives and the Medicaid for employed persons with disabilities (MEPD) program. Benefits education may include gathering information needed to pursue work incentives and offering basic financial management information to members, families, guardians and legal representatives.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“Career exploration,”</w:t>
      </w:r>
      <w:r>
        <w:rPr>
          <w:rFonts w:ascii="Times New Roman" w:hAnsi="Times New Roman"/>
          <w:b w:val="false"/>
          <w:i w:val="false"/>
          <w:color w:val="000000"/>
          <w:sz w:val="22"/>
        </w:rPr>
        <w:t> </w:t>
      </w:r>
      <w:r>
        <w:rPr>
          <w:rFonts w:ascii="Times New Roman" w:hAnsi="Times New Roman"/>
          <w:b w:val="false"/>
          <w:i w:val="false"/>
          <w:color w:val="000000"/>
          <w:sz w:val="22"/>
        </w:rPr>
        <w:t>also referred to as “career planning,” means a person-centered, comprehensive employment planning and support service that provides assistance for waiver program participants to obtain, maintain or advance in competitive employment or self-employment. Career exploration is a focused, time-limited service engaging a participant in identifying a career direction and developing a plan for achieving competitive, integrated employment at or above the state’s minimum wage. The outcome of this service is documentation of the participant’s stated career objective and a career plan used to guide individual employment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“Career plan”</w:t>
      </w:r>
      <w:r>
        <w:rPr>
          <w:rFonts w:ascii="Times New Roman" w:hAnsi="Times New Roman"/>
          <w:b w:val="false"/>
          <w:i w:val="false"/>
          <w:color w:val="000000"/>
          <w:sz w:val="22"/>
        </w:rPr>
        <w:t> </w:t>
      </w:r>
      <w:r>
        <w:rPr>
          <w:rFonts w:ascii="Times New Roman" w:hAnsi="Times New Roman"/>
          <w:b w:val="false"/>
          <w:i w:val="false"/>
          <w:color w:val="000000"/>
          <w:sz w:val="22"/>
        </w:rPr>
        <w:t>means a written plan documenting the member’s stated career objective and used to guide individual employment support services for achieving competitive, integrated employment at or above the state’s minimum wage.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“Case management”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case management services accredited under </w:t>
      </w:r>
      <w:hyperlink r:id="rId4">
        <w:r>
          <w:rPr>
            <w:rStyle w:val="Hyperlink"/>
            <w:rFonts w:ascii="Times New Roman" w:hAnsi="Times New Roman"/>
            <w:b w:val="false"/>
            <w:i w:val="false"/>
            <w:color w:val="000000"/>
            <w:sz w:val="22"/>
          </w:rPr>
          <w:t>441—Chapter 24</w:t>
        </w:r>
      </w:hyperlink>
      <w:r>
        <w:rPr>
          <w:rFonts w:ascii="Times New Roman" w:hAnsi="Times New Roman"/>
          <w:b w:val="false"/>
          <w:i w:val="false"/>
          <w:color w:val="000000"/>
          <w:sz w:val="22"/>
        </w:rPr>
        <w:t xml:space="preserve"> and provided according to </w:t>
      </w:r>
      <w:hyperlink r:id="rId5">
        <w:r>
          <w:rPr>
            <w:rStyle w:val="Hyperlink"/>
            <w:rFonts w:ascii="Times New Roman" w:hAnsi="Times New Roman"/>
            <w:b w:val="false"/>
            <w:i w:val="false"/>
            <w:color w:val="000000"/>
            <w:sz w:val="22"/>
          </w:rPr>
          <w:t>441—Chapter 90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“Certified employment specialist”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“CES”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who has demonstrated a sufficient level of knowledge and skill to provide integrated employment support services to a variety of client populations and has earned a CES certification through a nationally recognized accrediting body.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“Child and Adolescent Level of Care Utilization System”</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“CALOCUS”</w:t>
      </w:r>
      <w:r>
        <w:rPr>
          <w:rFonts w:ascii="Times New Roman" w:hAnsi="Times New Roman"/>
          <w:b w:val="false"/>
          <w:i w:val="false"/>
          <w:color w:val="000000"/>
          <w:sz w:val="22"/>
        </w:rPr>
        <w:t> </w:t>
      </w:r>
      <w:r>
        <w:rPr>
          <w:rFonts w:ascii="Times New Roman" w:hAnsi="Times New Roman"/>
          <w:b w:val="false"/>
          <w:i w:val="false"/>
          <w:color w:val="000000"/>
          <w:sz w:val="22"/>
        </w:rPr>
        <w:t xml:space="preserve"> means the comprehensive functional assessment tool utilized to determine eligibility for the habilitation program and service authorization for the home-based habilitation service and intensive residential habilitation services for individuals aged 16 to 18.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“Comprehensive service plan”</w:t>
      </w:r>
      <w:r>
        <w:rPr>
          <w:rFonts w:ascii="Times New Roman" w:hAnsi="Times New Roman"/>
          <w:b w:val="false"/>
          <w:i w:val="false"/>
          <w:color w:val="000000"/>
          <w:sz w:val="22"/>
        </w:rPr>
        <w:t> </w:t>
      </w:r>
      <w:r>
        <w:rPr>
          <w:rFonts w:ascii="Times New Roman" w:hAnsi="Times New Roman"/>
          <w:b w:val="false"/>
          <w:i w:val="false"/>
          <w:color w:val="000000"/>
          <w:sz w:val="22"/>
        </w:rPr>
        <w:t>means an individualized, person-centered, and goal-oriented plan of services written in language understandable by the member using the service and developed collaboratively by the member and the case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“Customized employment”</w:t>
      </w:r>
      <w:r>
        <w:rPr>
          <w:rFonts w:ascii="Times New Roman" w:hAnsi="Times New Roman"/>
          <w:b w:val="false"/>
          <w:i w:val="false"/>
          <w:color w:val="000000"/>
          <w:sz w:val="22"/>
        </w:rPr>
        <w:t> </w:t>
      </w:r>
      <w:r>
        <w:rPr>
          <w:rFonts w:ascii="Times New Roman" w:hAnsi="Times New Roman"/>
          <w:b w:val="false"/>
          <w:i w:val="false"/>
          <w:color w:val="000000"/>
          <w:sz w:val="22"/>
        </w:rPr>
        <w:t>means an approach to supported employment that individualizes the employment relationship between employees and employers in ways that meet the needs of both. Customized employment is based on an individualized determination of the strengths, needs, and interests of the person with a disability and is also designed to meet the specific needs of the employer. Customized employment may include employment developed through job carving, self-employment or entrepreneurial initiatives, or other job development or restructuring strategies that result in job responsibilities being customized and individually negotiated to fit the needs of the individual with a disability. Customized employment assumes the provision of reasonable accommodations and supports necessary for the individual to perform the functions of a job that is individually negotiated and developed.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“Emergency”</w:t>
      </w:r>
      <w:r>
        <w:rPr>
          <w:rFonts w:ascii="Times New Roman" w:hAnsi="Times New Roman"/>
          <w:b w:val="false"/>
          <w:i w:val="false"/>
          <w:color w:val="000000"/>
          <w:sz w:val="22"/>
        </w:rPr>
        <w:t> </w:t>
      </w:r>
      <w:r>
        <w:rPr>
          <w:rFonts w:ascii="Times New Roman" w:hAnsi="Times New Roman"/>
          <w:b w:val="false"/>
          <w:i w:val="false"/>
          <w:color w:val="000000"/>
          <w:sz w:val="22"/>
        </w:rPr>
        <w:t>means a situation for which no approved individual program plan exists that, if not addressed, may result in injury or harm to the member or to other persons or in significant amounts of property damage.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“HCBS”</w:t>
      </w:r>
      <w:r>
        <w:rPr>
          <w:rFonts w:ascii="Times New Roman" w:hAnsi="Times New Roman"/>
          <w:b w:val="false"/>
          <w:i w:val="false"/>
          <w:color w:val="000000"/>
          <w:sz w:val="22"/>
        </w:rPr>
        <w:t> </w:t>
      </w:r>
      <w:r>
        <w:rPr>
          <w:rFonts w:ascii="Times New Roman" w:hAnsi="Times New Roman"/>
          <w:b w:val="false"/>
          <w:i w:val="false"/>
          <w:color w:val="000000"/>
          <w:sz w:val="22"/>
        </w:rPr>
        <w:t>means home- and community-based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“Individual employment”</w:t>
      </w:r>
      <w:r>
        <w:rPr>
          <w:rFonts w:ascii="Times New Roman" w:hAnsi="Times New Roman"/>
          <w:b w:val="false"/>
          <w:i w:val="false"/>
          <w:color w:val="000000"/>
          <w:sz w:val="22"/>
        </w:rPr>
        <w:t> </w:t>
      </w:r>
      <w:r>
        <w:rPr>
          <w:rFonts w:ascii="Times New Roman" w:hAnsi="Times New Roman"/>
          <w:b w:val="false"/>
          <w:i w:val="false"/>
          <w:color w:val="000000"/>
          <w:sz w:val="22"/>
        </w:rPr>
        <w:t>means employment in the general workforce where the member interacts with the general public to the same degree as nondisabled persons in the same job, and for which the member is paid at or above minimum wage, but not less than the customary wage and level of benefits paid by the employer for the same or similar work performed by persons without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“Individual placement and support”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“IPS”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evidence-based practice of supported employment that is guided by IPS practice principles outlined by the IPS Employment Center at Westat as amended to July 1, 2026, and as measured by its employment fidelity scale available online at </w:t>
      </w:r>
      <w:hyperlink r:id="rId6">
        <w:r>
          <w:rPr>
            <w:rStyle w:val="Hyperlink"/>
            <w:rFonts w:ascii="Times New Roman" w:hAnsi="Times New Roman"/>
            <w:b w:val="false"/>
            <w:i w:val="false"/>
            <w:color w:val="000000"/>
            <w:sz w:val="22"/>
            <w:u w:val="single"/>
          </w:rPr>
          <w:t>ipsworks.org</w:t>
        </w:r>
      </w:hyperlink>
      <w:r>
        <w:rPr>
          <w:rFonts w:ascii="Times New Roman" w:hAnsi="Times New Roman"/>
          <w:b w:val="false"/>
          <w:i w:val="false"/>
          <w:color w:val="000000"/>
          <w:sz w:val="22"/>
        </w:rPr>
        <w:t xml:space="preserve"> as amended to July 1, 2026.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“Integrated community employment”</w:t>
      </w:r>
      <w:r>
        <w:rPr>
          <w:rFonts w:ascii="Times New Roman" w:hAnsi="Times New Roman"/>
          <w:b w:val="false"/>
          <w:i w:val="false"/>
          <w:color w:val="000000"/>
          <w:sz w:val="22"/>
        </w:rPr>
        <w:t> </w:t>
      </w:r>
      <w:r>
        <w:rPr>
          <w:rFonts w:ascii="Times New Roman" w:hAnsi="Times New Roman"/>
          <w:b w:val="false"/>
          <w:i w:val="false"/>
          <w:color w:val="000000"/>
          <w:sz w:val="22"/>
        </w:rPr>
        <w:t>means work (including self-employment) for which an individual with a disability is paid at or above minimum wage and not less than the customary wage and level of benefits paid by the employer for the same or similar work performed by employees who are not disabled, where the individual interacts with other persons who are not disabled to the same extent as others who are in comparable positions, and that presents opportunities for advancement that are similar to those for employees who are not disabled. In the case of an individual who is self-employed, the business results in an income that is comparable to the income received by others who are not disabled and are self-employed in similar occupations.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“Intensive residential service homes”</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“intensive residential services”</w:t>
      </w:r>
      <w:r>
        <w:rPr>
          <w:rFonts w:ascii="Times New Roman" w:hAnsi="Times New Roman"/>
          <w:b w:val="false"/>
          <w:i w:val="false"/>
          <w:color w:val="000000"/>
          <w:sz w:val="22"/>
        </w:rPr>
        <w:t> </w:t>
      </w:r>
      <w:r>
        <w:rPr>
          <w:rFonts w:ascii="Times New Roman" w:hAnsi="Times New Roman"/>
          <w:b w:val="false"/>
          <w:i w:val="false"/>
          <w:color w:val="000000"/>
          <w:sz w:val="22"/>
        </w:rPr>
        <w:t xml:space="preserve"> means intensive, community-based services provided 24 hours per day, 7 days per week, 365 days per year to individuals with a severe and persistent mental illness who have functional impairments and may also have multi-occurring conditions. Providers of intensive residential service homes are enrolled with Medicaid as providers of HCBS habilitation, home-based habilitation, or HCBS intellectual disability waiver supported community living and meet additional criteria specified in rule </w:t>
      </w:r>
      <w:hyperlink r:id="rId7">
        <w:r>
          <w:rPr>
            <w:rStyle w:val="Hyperlink"/>
            <w:rFonts w:ascii="Times New Roman" w:hAnsi="Times New Roman"/>
            <w:b w:val="false"/>
            <w:i w:val="false"/>
            <w:color w:val="000000"/>
            <w:sz w:val="22"/>
          </w:rPr>
          <w:t>441—77.30</w:t>
        </w:r>
      </w:hyperlink>
      <w:r>
        <w:rPr>
          <w:rFonts w:ascii="Times New Roman" w:hAnsi="Times New Roman"/>
          <w:b w:val="false"/>
          <w:i w:val="false"/>
          <w:color w:val="000000"/>
          <w:sz w:val="22"/>
        </w:rPr>
        <w:t>(249A) and the provider manual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“Interdisciplinary team”</w:t>
      </w:r>
      <w:r>
        <w:rPr>
          <w:rFonts w:ascii="Times New Roman" w:hAnsi="Times New Roman"/>
          <w:b w:val="false"/>
          <w:i w:val="false"/>
          <w:color w:val="000000"/>
          <w:sz w:val="22"/>
        </w:rPr>
        <w:t> </w:t>
      </w:r>
      <w:r>
        <w:rPr>
          <w:rFonts w:ascii="Times New Roman" w:hAnsi="Times New Roman"/>
          <w:b w:val="false"/>
          <w:i w:val="false"/>
          <w:color w:val="000000"/>
          <w:sz w:val="22"/>
        </w:rPr>
        <w:t>means a group of persons with varied professional backgrounds who meet with the member to develop a comprehensive service plan to address the member’s need for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“IoWANS”</w:t>
      </w:r>
      <w:r>
        <w:rPr>
          <w:rFonts w:ascii="Times New Roman" w:hAnsi="Times New Roman"/>
          <w:b w:val="false"/>
          <w:i w:val="false"/>
          <w:color w:val="000000"/>
          <w:sz w:val="22"/>
        </w:rPr>
        <w:t> </w:t>
      </w:r>
      <w:r>
        <w:rPr>
          <w:rFonts w:ascii="Times New Roman" w:hAnsi="Times New Roman"/>
          <w:b w:val="false"/>
          <w:i w:val="false"/>
          <w:color w:val="000000"/>
          <w:sz w:val="22"/>
        </w:rPr>
        <w:t>means the department’s Institutional and Waiver Authorization and Narrative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“Level of Care Utilization System”</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“LOCUS”</w:t>
      </w:r>
      <w:r>
        <w:rPr>
          <w:rFonts w:ascii="Times New Roman" w:hAnsi="Times New Roman"/>
          <w:b w:val="false"/>
          <w:i w:val="false"/>
          <w:color w:val="000000"/>
          <w:sz w:val="22"/>
        </w:rPr>
        <w:t> </w:t>
      </w:r>
      <w:r>
        <w:rPr>
          <w:rFonts w:ascii="Times New Roman" w:hAnsi="Times New Roman"/>
          <w:b w:val="false"/>
          <w:i w:val="false"/>
          <w:color w:val="000000"/>
          <w:sz w:val="22"/>
        </w:rPr>
        <w:t>means the comprehensive functional assessment tool utilized to determine eligibility for the habilitation program and service authorization for the home-based habilitation and intensive residential services for individuals aged 19 and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“Managed care organization”</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“MCO”</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entity that (1) is under contract with the department to provide services to Medicaid recipients and (2) meets the definition of “health maintenance organization” as defined in Iowa Code section </w:t>
      </w:r>
      <w:hyperlink r:id="rId8">
        <w:r>
          <w:rPr>
            <w:rStyle w:val="Hyperlink"/>
            <w:rFonts w:ascii="Times New Roman" w:hAnsi="Times New Roman"/>
            <w:b w:val="false"/>
            <w:i w:val="false"/>
            <w:color w:val="000000"/>
            <w:sz w:val="22"/>
          </w:rPr>
          <w:t>514B.1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“Member”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who has been determined to be eligible for Medicaid under </w:t>
      </w:r>
      <w:hyperlink r:id="rId9">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“Program”</w:t>
      </w:r>
      <w:r>
        <w:rPr>
          <w:rFonts w:ascii="Times New Roman" w:hAnsi="Times New Roman"/>
          <w:b w:val="false"/>
          <w:i w:val="false"/>
          <w:color w:val="000000"/>
          <w:sz w:val="22"/>
        </w:rPr>
        <w:t> </w:t>
      </w:r>
      <w:r>
        <w:rPr>
          <w:rFonts w:ascii="Times New Roman" w:hAnsi="Times New Roman"/>
          <w:b w:val="false"/>
          <w:i w:val="false"/>
          <w:color w:val="000000"/>
          <w:sz w:val="22"/>
        </w:rPr>
        <w:t>means a set of related resources and services directed to the accomplishment of a fixed set of goals for qualifying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“Severe and persistent mental illness”</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“SPMI”</w:t>
      </w:r>
      <w:r>
        <w:rPr>
          <w:rFonts w:ascii="Times New Roman" w:hAnsi="Times New Roman"/>
          <w:b w:val="false"/>
          <w:i w:val="false"/>
          <w:color w:val="000000"/>
          <w:sz w:val="22"/>
        </w:rPr>
        <w:t> </w:t>
      </w:r>
      <w:r>
        <w:rPr>
          <w:rFonts w:ascii="Times New Roman" w:hAnsi="Times New Roman"/>
          <w:b w:val="false"/>
          <w:i w:val="false"/>
          <w:color w:val="000000"/>
          <w:sz w:val="22"/>
        </w:rPr>
        <w:t>means a documented primary mental health disorder diagnosed by a mental health professional that causes symptoms and impairments in basic mental and behavioral processes that produce distress and major functional disability in adult role functioning inclusive of social, personal, family, educational, or vocational roles.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“Supported employment”</w:t>
      </w:r>
      <w:r>
        <w:rPr>
          <w:rFonts w:ascii="Times New Roman" w:hAnsi="Times New Roman"/>
          <w:b w:val="false"/>
          <w:i w:val="false"/>
          <w:color w:val="000000"/>
          <w:sz w:val="22"/>
        </w:rPr>
        <w:t> </w:t>
      </w:r>
      <w:r>
        <w:rPr>
          <w:rFonts w:ascii="Times New Roman" w:hAnsi="Times New Roman"/>
          <w:b w:val="false"/>
          <w:i w:val="false"/>
          <w:color w:val="000000"/>
          <w:sz w:val="22"/>
        </w:rPr>
        <w:t>means the ongoing supports to participants who, because of their disabilities, need intensive ongoing support to obtain and maintain an individual job in competitive or customized employment, or self-employment, in an integrated work setting in the general workforce at or above the state’s minimum wage or at or above the customary wage and level of benefits paid by the employer for the same or similar work performed by individuals without disabilities. The outcome of this service is sustained paid employment at or above the minimum wage in an integrated setting in the general workforce in a job that meets personal and career goals. Supported employment services can be provided through many different service models.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“Supported self-employment”</w:t>
      </w:r>
      <w:r>
        <w:rPr>
          <w:rFonts w:ascii="Times New Roman" w:hAnsi="Times New Roman"/>
          <w:b w:val="false"/>
          <w:i w:val="false"/>
          <w:color w:val="000000"/>
          <w:sz w:val="22"/>
        </w:rPr>
        <w:t> </w:t>
      </w:r>
      <w:r>
        <w:rPr>
          <w:rFonts w:ascii="Times New Roman" w:hAnsi="Times New Roman"/>
          <w:b w:val="false"/>
          <w:i w:val="false"/>
          <w:color w:val="000000"/>
          <w:sz w:val="22"/>
        </w:rPr>
        <w:t>includes services and supports that assist the participant in achieving self-employment through the operation of a business; however, Medicaid funds may not be used to defray the expenses associated with starting up or operating a business. Assistance for self-employment may include aid to the individual in identifying potential business opportunities; assistance in the development of a business plan, including potential sources of business financing and other assistance in developing and launching a business; identification of the supports necessary for the individual to operate the business; and ongoing assistance, counseling and guidance once the business has been launched.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“Sustained employment”</w:t>
      </w:r>
      <w:r>
        <w:rPr>
          <w:rFonts w:ascii="Times New Roman" w:hAnsi="Times New Roman"/>
          <w:b w:val="false"/>
          <w:i w:val="false"/>
          <w:color w:val="000000"/>
          <w:sz w:val="22"/>
        </w:rPr>
        <w:t> </w:t>
      </w:r>
      <w:r>
        <w:rPr>
          <w:rFonts w:ascii="Times New Roman" w:hAnsi="Times New Roman"/>
          <w:b w:val="false"/>
          <w:i w:val="false"/>
          <w:color w:val="000000"/>
          <w:sz w:val="22"/>
        </w:rPr>
        <w:t>means an individual employment situation that the member maintains over time but not for less than 90 calendar days following the receipt of employment services and supports.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78.27(2)</w:t>
      </w:r>
      <w:r>
        <w:rPr>
          <w:rFonts w:ascii="Times New Roman" w:hAnsi="Times New Roman"/>
          <w:b w:val="false"/>
          <w:i w:val="false"/>
          <w:color w:val="000000"/>
          <w:sz w:val="22"/>
        </w:rPr>
        <w:t> </w:t>
      </w:r>
      <w:r>
        <w:rPr>
          <w:rFonts w:ascii="Times New Roman" w:hAnsi="Times New Roman"/>
          <w:b w:val="false"/>
          <w:i/>
          <w:color w:val="000000"/>
          <w:sz w:val="22"/>
        </w:rPr>
        <w:t xml:space="preserve">Member eligibility. </w:t>
      </w:r>
      <w:r>
        <w:rPr>
          <w:rFonts w:ascii="Times New Roman" w:hAnsi="Times New Roman"/>
          <w:b w:val="false"/>
          <w:i w:val="false"/>
          <w:color w:val="000000"/>
          <w:sz w:val="22"/>
        </w:rPr>
        <w:t>To be eligible to receive home- and community-based habilitation services, a member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LOCUS/CALOCUS actual disposition. </w:t>
      </w:r>
      <w:r>
        <w:rPr>
          <w:rFonts w:ascii="Times New Roman" w:hAnsi="Times New Roman"/>
          <w:b w:val="false"/>
          <w:i w:val="false"/>
          <w:color w:val="000000"/>
          <w:sz w:val="22"/>
        </w:rPr>
        <w:t>The member has a LOCUS/CALOCUS actual disposition of level one recovery maintenance and health management or higher on the most current LOCUS/CALOCUS assessment completed within the past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Risk factors. </w:t>
      </w:r>
      <w:r>
        <w:rPr>
          <w:rFonts w:ascii="Times New Roman" w:hAnsi="Times New Roman"/>
          <w:b w:val="false"/>
          <w:i w:val="false"/>
          <w:color w:val="000000"/>
          <w:sz w:val="22"/>
        </w:rPr>
        <w:t>The member meets at least one of the following risk-based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 has a history of inpatient, partial hospitalization, or emergency psychiatric  treatment more than once in the member’s life;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member has a history of continuous professional psychiatric supportive care other than  hospitalization;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member has a history of involvement with the criminal justice system;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Services available in the member’s community have not been able to meet the member’s  needs;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member has a history of unemployment or employment in a sheltered setting or poor work history;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member has a history of homelessness or is at risk of homelessness.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Need for assistance. </w:t>
      </w:r>
      <w:r>
        <w:rPr>
          <w:rFonts w:ascii="Times New Roman" w:hAnsi="Times New Roman"/>
          <w:b w:val="false"/>
          <w:i w:val="false"/>
          <w:color w:val="000000"/>
          <w:sz w:val="22"/>
        </w:rPr>
        <w:t>The member has a need for assistance demonstrated by meeting at least two of the following criteria on a continuing or intermittent basis for at least 12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 needs assistance to obtain or maintain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member requires financial assistance to reside independently in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member needs significant assistance to establish or maintain a personal social support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member needs assistance with at least one of the activities of daily living (ADLs) or  instrumental activities of daily living (IADLs) to reside independently in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member needs assistance with management and intervention of maladaptive or antisocial behaviors to ensure the safety of the individual or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Income. </w:t>
      </w:r>
      <w:r>
        <w:rPr>
          <w:rFonts w:ascii="Times New Roman" w:hAnsi="Times New Roman"/>
          <w:b w:val="false"/>
          <w:i w:val="false"/>
          <w:color w:val="000000"/>
          <w:sz w:val="22"/>
        </w:rPr>
        <w:t>The countable income used in determining the member’s Medicaid eligibility does not exceed 150 percent of the federal poverty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Needs assessment. </w:t>
      </w:r>
      <w:r>
        <w:rPr>
          <w:rFonts w:ascii="Times New Roman" w:hAnsi="Times New Roman"/>
          <w:b w:val="false"/>
          <w:i w:val="false"/>
          <w:color w:val="000000"/>
          <w:sz w:val="22"/>
        </w:rPr>
        <w:t>The department-approved assessment tool has been completed, and Iowa Medicaid has determined that the member is in need of home- and community-based habilitation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Designated case manager. </w:t>
      </w:r>
      <w:r>
        <w:rPr>
          <w:rFonts w:ascii="Times New Roman" w:hAnsi="Times New Roman"/>
          <w:b w:val="false"/>
          <w:i w:val="false"/>
          <w:color w:val="000000"/>
          <w:sz w:val="22"/>
        </w:rPr>
        <w:t>The designated case manager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Arrange for the completion of the needs-based assessment before services begin, and annually thereafter, and more frequently if significant observable changes occur in the member’s situation, condition, or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Use the information submission tool and other supporting documentation as relevant to develop a comprehensive service plan as specified in subrule </w:t>
      </w:r>
      <w:hyperlink r:id="rId10">
        <w:r>
          <w:rPr>
            <w:rStyle w:val="Hyperlink"/>
            <w:rFonts w:ascii="Times New Roman" w:hAnsi="Times New Roman"/>
            <w:b w:val="false"/>
            <w:i w:val="false"/>
            <w:color w:val="000000"/>
            <w:sz w:val="22"/>
          </w:rPr>
          <w:t>78.27(4)</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441—paragraph 90.4(1)</w:t>
        </w:r>
      </w:hyperlink>
      <w:r>
        <w:rPr>
          <w:rFonts w:ascii="Times New Roman" w:hAnsi="Times New Roman"/>
          <w:b w:val="false"/>
          <w:i/>
          <w:color w:val="000000"/>
          <w:sz w:val="22"/>
        </w:rPr>
        <w:t>“b”</w:t>
      </w:r>
      <w:r>
        <w:rPr>
          <w:rFonts w:ascii="Times New Roman" w:hAnsi="Times New Roman"/>
          <w:b w:val="false"/>
          <w:i w:val="false"/>
          <w:color w:val="000000"/>
          <w:sz w:val="22"/>
        </w:rPr>
        <w:t xml:space="preserve"> before services begin and annually thereafter, and when there is a significant observable change in the member’s situation, condition, or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Plan for service. </w:t>
      </w:r>
      <w:r>
        <w:rPr>
          <w:rFonts w:ascii="Times New Roman" w:hAnsi="Times New Roman"/>
          <w:b w:val="false"/>
          <w:i w:val="false"/>
          <w:color w:val="000000"/>
          <w:sz w:val="22"/>
        </w:rPr>
        <w:t>The department or the member’s MCO has approved the member’s comprehensive service plan for home- and community-based habilitation services. Home- and community-based habilitation services included in a comprehensive service plan or treatment plan that has been validated by Iowa Medicaid or the member’s MCO will be considered approved by the department. Home- and community-based habilitation services provided before approval of a member’s eligibility for the program cannot be reimbursed.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member’s comprehensive service plan shall be completed annually according to the requirements of subrule </w:t>
      </w:r>
      <w:hyperlink r:id="rId12">
        <w:r>
          <w:rPr>
            <w:rStyle w:val="Hyperlink"/>
            <w:rFonts w:ascii="Times New Roman" w:hAnsi="Times New Roman"/>
            <w:b w:val="false"/>
            <w:i w:val="false"/>
            <w:color w:val="000000"/>
            <w:sz w:val="22"/>
          </w:rPr>
          <w:t>78.27(4)</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441—paragraph 90.4(1)</w:t>
        </w:r>
      </w:hyperlink>
      <w:r>
        <w:rPr>
          <w:rFonts w:ascii="Times New Roman" w:hAnsi="Times New Roman"/>
          <w:b w:val="false"/>
          <w:i/>
          <w:color w:val="000000"/>
          <w:sz w:val="22"/>
        </w:rPr>
        <w:t>“b.”</w:t>
      </w:r>
      <w:r>
        <w:rPr>
          <w:rFonts w:ascii="Times New Roman" w:hAnsi="Times New Roman"/>
          <w:b w:val="false"/>
          <w:i w:val="false"/>
          <w:color w:val="000000"/>
          <w:sz w:val="22"/>
        </w:rPr>
        <w:t xml:space="preserve"> A service plan may change when requested by the member or the member’s interdisciplinary team when there is a significant observable change in the member’s situation, condition, or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members receiving home-based habilitation, the service plan shall include the member’s needs-based assessment, actual disposition, the composite score, and each individual domain score for each of the six assessed domains.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member’s habilitation services shall not exceed the maximum number of units established for each service in </w:t>
      </w:r>
      <w:hyperlink r:id="rId14">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cost of the habilitation services shall not exceed unit expense maximums established in </w:t>
      </w:r>
      <w:hyperlink r:id="rId15">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78.27(3)</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services. </w:t>
      </w:r>
      <w:r>
        <w:rPr>
          <w:rFonts w:ascii="Times New Roman" w:hAnsi="Times New Roman"/>
          <w:b w:val="false"/>
          <w:i w:val="false"/>
          <w:color w:val="000000"/>
          <w:sz w:val="22"/>
        </w:rPr>
        <w:t xml:space="preserve">The member or case manager shall apply for habilitation services on behalf of a member by contacting Iowa Medicaid. The department will issue a notice of decision to the applicant in accordance with </w:t>
      </w:r>
      <w:hyperlink r:id="rId16">
        <w:r>
          <w:rPr>
            <w:rStyle w:val="Hyperlink"/>
            <w:rFonts w:ascii="Times New Roman" w:hAnsi="Times New Roman"/>
            <w:b w:val="false"/>
            <w:i w:val="false"/>
            <w:color w:val="000000"/>
            <w:sz w:val="22"/>
          </w:rPr>
          <w:t>441—Chapter 16</w:t>
        </w:r>
      </w:hyperlink>
      <w:r>
        <w:rPr>
          <w:rFonts w:ascii="Times New Roman" w:hAnsi="Times New Roman"/>
          <w:b w:val="false"/>
          <w:i w:val="false"/>
          <w:color w:val="000000"/>
          <w:sz w:val="22"/>
        </w:rPr>
        <w:t xml:space="preserve"> when financial eligibility and needs-based eligibility determinations have been completed.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78.27(4)</w:t>
      </w:r>
      <w:r>
        <w:rPr>
          <w:rFonts w:ascii="Times New Roman" w:hAnsi="Times New Roman"/>
          <w:b w:val="false"/>
          <w:i w:val="false"/>
          <w:color w:val="000000"/>
          <w:sz w:val="22"/>
        </w:rPr>
        <w:t> </w:t>
      </w:r>
      <w:r>
        <w:rPr>
          <w:rFonts w:ascii="Times New Roman" w:hAnsi="Times New Roman"/>
          <w:b w:val="false"/>
          <w:i/>
          <w:color w:val="000000"/>
          <w:sz w:val="22"/>
        </w:rPr>
        <w:t xml:space="preserve">Comprehensive service plan. </w:t>
      </w:r>
      <w:r>
        <w:rPr>
          <w:rFonts w:ascii="Times New Roman" w:hAnsi="Times New Roman"/>
          <w:b w:val="false"/>
          <w:i w:val="false"/>
          <w:color w:val="000000"/>
          <w:sz w:val="22"/>
        </w:rPr>
        <w:t>Individualized, planned, and appropriate services shall be guided by a member-specific comprehensive service plan or treatment plan developed with the member in collaboration with an interdisciplinary team, as appropriate. Medically necessary services shall be planned for and provided at the locations where the member lives, learns, works, and socializes.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Development. </w:t>
      </w:r>
      <w:r>
        <w:rPr>
          <w:rFonts w:ascii="Times New Roman" w:hAnsi="Times New Roman"/>
          <w:b w:val="false"/>
          <w:i w:val="false"/>
          <w:color w:val="000000"/>
          <w:sz w:val="22"/>
        </w:rPr>
        <w:t>A comprehensive service plan or treatment plan shall be developed for each member receiving home- and community-based habilitation services based on the member’s current assessment and shall be reviewed on an annual basis. The comprehensive service plan will meet the criteria described in the HCBS habilitation manual.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Rights restrictions. </w:t>
      </w:r>
      <w:r>
        <w:rPr>
          <w:rFonts w:ascii="Times New Roman" w:hAnsi="Times New Roman"/>
          <w:b w:val="false"/>
          <w:i w:val="false"/>
          <w:color w:val="000000"/>
          <w:sz w:val="22"/>
        </w:rPr>
        <w:t xml:space="preserve">Any rights restrictions must be implemented in accordance with </w:t>
      </w:r>
      <w:hyperlink r:id="rId17">
        <w:r>
          <w:rPr>
            <w:rStyle w:val="Hyperlink"/>
            <w:rFonts w:ascii="Times New Roman" w:hAnsi="Times New Roman"/>
            <w:b w:val="false"/>
            <w:i w:val="false"/>
            <w:color w:val="000000"/>
            <w:sz w:val="22"/>
          </w:rPr>
          <w:t>441—subrule 77.30(4)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Emergency plan. </w:t>
      </w:r>
      <w:r>
        <w:rPr>
          <w:rFonts w:ascii="Times New Roman" w:hAnsi="Times New Roman"/>
          <w:b w:val="false"/>
          <w:i w:val="false"/>
          <w:color w:val="000000"/>
          <w:sz w:val="22"/>
        </w:rPr>
        <w:t>The comprehensive service plan or treatment plan shall include a plan for emergencies and identification of the supports available to the member in an emergency. Emergency plans shall be developed as detailed in the HCBS habilitation manual.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Plan approval. </w:t>
      </w:r>
      <w:r>
        <w:rPr>
          <w:rFonts w:ascii="Times New Roman" w:hAnsi="Times New Roman"/>
          <w:b w:val="false"/>
          <w:i w:val="false"/>
          <w:color w:val="000000"/>
          <w:sz w:val="22"/>
        </w:rPr>
        <w:t xml:space="preserve">Services shall be entered into IoWANS based on the comprehensive service plan. A comprehensive service plan or treatment plan that has been validated and authorized through IoWANS will be considered approved by the department. Services must be authorized in IoWANS as specified in paragraph </w:t>
      </w:r>
      <w:hyperlink r:id="rId18">
        <w:r>
          <w:rPr>
            <w:rStyle w:val="Hyperlink"/>
            <w:rFonts w:ascii="Times New Roman" w:hAnsi="Times New Roman"/>
            <w:b w:val="false"/>
            <w:i w:val="false"/>
            <w:color w:val="000000"/>
            <w:sz w:val="22"/>
          </w:rPr>
          <w:t>78.27(2)</w:t>
        </w:r>
        <w:r>
          <w:rPr>
            <w:rFonts w:ascii="Times New Roman" w:hAnsi="Times New Roman"/>
            <w:b w:val="false"/>
            <w:i/>
            <w:color w:val="000000"/>
            <w:sz w:val="22"/>
          </w:rPr>
          <w:t>“g.”</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78.27(5)</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services. </w:t>
      </w:r>
      <w:r>
        <w:rPr>
          <w:rFonts w:ascii="Times New Roman" w:hAnsi="Times New Roman"/>
          <w:b w:val="false"/>
          <w:i w:val="false"/>
          <w:color w:val="000000"/>
          <w:sz w:val="22"/>
        </w:rPr>
        <w:t>Home- and community-based habilitation services shall be provided in accordance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services shall be based on the member’s needs as identified in the member’s comprehensive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services shall be delivered in the least restrictive environment appropriate to the needs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services shall include the applicable and necessary instruction, supervision, assistance, and support required by the member to achieve the member’s life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Service components that are the same or similar shall not be provided simultaneously.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Service costs are not reimbursable while the member is in a medical institution, including but not limited to a hospital or nursing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Reimbursement is not available for room and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Services shall be billed in whole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Services shall be documented. Each unit billed must have corresponding financial and medical records as set forth in rule </w:t>
      </w:r>
      <w:hyperlink r:id="rId19">
        <w:r>
          <w:rPr>
            <w:rStyle w:val="Hyperlink"/>
            <w:rFonts w:ascii="Times New Roman" w:hAnsi="Times New Roman"/>
            <w:b w:val="false"/>
            <w:i w:val="false"/>
            <w:color w:val="000000"/>
            <w:sz w:val="22"/>
          </w:rPr>
          <w:t>441—79.3</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78.27(6)</w:t>
      </w:r>
      <w:r>
        <w:rPr>
          <w:rFonts w:ascii="Times New Roman" w:hAnsi="Times New Roman"/>
          <w:b w:val="false"/>
          <w:i w:val="false"/>
          <w:color w:val="000000"/>
          <w:sz w:val="22"/>
        </w:rPr>
        <w:t> </w:t>
      </w:r>
      <w:r>
        <w:rPr>
          <w:rFonts w:ascii="Times New Roman" w:hAnsi="Times New Roman"/>
          <w:b w:val="false"/>
          <w:i/>
          <w:color w:val="000000"/>
          <w:sz w:val="22"/>
        </w:rPr>
        <w:t xml:space="preserve">Case management. </w:t>
      </w:r>
      <w:r>
        <w:rPr>
          <w:rFonts w:ascii="Times New Roman" w:hAnsi="Times New Roman"/>
          <w:b w:val="false"/>
          <w:i w:val="false"/>
          <w:color w:val="000000"/>
          <w:sz w:val="22"/>
        </w:rPr>
        <w:t>Case management assists members in gaining access to needed medical, social, educational, housing, transportation, vocational, and other appropriate services in order to ensure the health, safety, and welfare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 xml:space="preserve">Case management services shall be provided as set forth in rules </w:t>
      </w:r>
      <w:hyperlink r:id="rId20">
        <w:r>
          <w:rPr>
            <w:rStyle w:val="Hyperlink"/>
            <w:rFonts w:ascii="Times New Roman" w:hAnsi="Times New Roman"/>
            <w:b w:val="false"/>
            <w:i w:val="false"/>
            <w:color w:val="000000"/>
            <w:sz w:val="22"/>
          </w:rPr>
          <w:t>441—90.4</w:t>
        </w:r>
      </w:hyperlink>
      <w:r>
        <w:rPr>
          <w:rFonts w:ascii="Times New Roman" w:hAnsi="Times New Roman"/>
          <w:b w:val="false"/>
          <w:i w:val="false"/>
          <w:color w:val="000000"/>
          <w:sz w:val="22"/>
        </w:rPr>
        <w:t xml:space="preserve">(249A) through </w:t>
      </w:r>
      <w:hyperlink r:id="rId21">
        <w:r>
          <w:rPr>
            <w:rStyle w:val="Hyperlink"/>
            <w:rFonts w:ascii="Times New Roman" w:hAnsi="Times New Roman"/>
            <w:b w:val="false"/>
            <w:i w:val="false"/>
            <w:color w:val="000000"/>
            <w:sz w:val="22"/>
          </w:rPr>
          <w:t>441—90.7</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Exclusions. </w:t>
      </w:r>
      <w:r>
        <w:rPr>
          <w:rFonts w:ascii="Times New Roman" w:hAnsi="Times New Roman"/>
          <w:b w:val="false"/>
          <w:i w:val="false"/>
          <w:color w:val="000000"/>
          <w:sz w:val="22"/>
        </w:rPr>
        <w:t xml:space="preserve">Payment will not be made for case management provided to a member who is eligible for targeted case management services under </w:t>
      </w:r>
      <w:hyperlink r:id="rId22">
        <w:r>
          <w:rPr>
            <w:rStyle w:val="Hyperlink"/>
            <w:rFonts w:ascii="Times New Roman" w:hAnsi="Times New Roman"/>
            <w:b w:val="false"/>
            <w:i w:val="false"/>
            <w:color w:val="000000"/>
            <w:sz w:val="22"/>
          </w:rPr>
          <w:t>441—Chapter 90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78.27(7)</w:t>
      </w:r>
      <w:r>
        <w:rPr>
          <w:rFonts w:ascii="Times New Roman" w:hAnsi="Times New Roman"/>
          <w:b w:val="false"/>
          <w:i w:val="false"/>
          <w:color w:val="000000"/>
          <w:sz w:val="22"/>
        </w:rPr>
        <w:t> </w:t>
      </w:r>
      <w:r>
        <w:rPr>
          <w:rFonts w:ascii="Times New Roman" w:hAnsi="Times New Roman"/>
          <w:b w:val="false"/>
          <w:i/>
          <w:color w:val="000000"/>
          <w:sz w:val="22"/>
        </w:rPr>
        <w:t xml:space="preserve">Home-based habilitation. </w:t>
      </w:r>
      <w:r>
        <w:rPr>
          <w:rFonts w:ascii="Times New Roman" w:hAnsi="Times New Roman"/>
          <w:b w:val="false"/>
          <w:i w:val="false"/>
          <w:color w:val="000000"/>
          <w:sz w:val="22"/>
        </w:rPr>
        <w:t>“Home-based habilitation” means individually tailored supports that assist with the acquisition, retention, or improvement of skills related to living, working, and recreating in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Home-based habilitation services are individualized supportive services provided in the member’s home and community that assist the member to reside in the most integrated setting appropriate to the member’s needs. Services are intended to provide for the daily living needs of the member and shall be available as needed during any 24-hour period. The specific support needs for each member shall be determined necessary by the interdisciplinary team and shall be identified in the member’s comprehensive service plan. Covered supports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Adaptive skill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Assistance with activities to address daily living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Assistance with symptom management and participation in mental health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Assistance with accessing physical and mental health care treatment, communication, and implementation of health care recommendations and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Assistance with accessing and participating in substance use disorder treatment and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Assistance with medication administration and medication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Assistance with understanding communication whether verbal or written;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Community inclusion and active participation in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Adult educational supports, which may include assistance and support with enrolling in educational opportunities and participation in education and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Social and leisure skill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Personal care;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Protective oversight and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Setting requirements. </w:t>
      </w:r>
      <w:r>
        <w:rPr>
          <w:rFonts w:ascii="Times New Roman" w:hAnsi="Times New Roman"/>
          <w:b w:val="false"/>
          <w:i w:val="false"/>
          <w:color w:val="000000"/>
          <w:sz w:val="22"/>
        </w:rPr>
        <w:t>Home-based habilitation services shall occur in the member’s home and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member may live in the member’s own home, within the home of the member’s family or legal representative, or in another community living arrangement that meets the criteria in </w:t>
      </w:r>
      <w:hyperlink r:id="rId23">
        <w:r>
          <w:rPr>
            <w:rStyle w:val="Hyperlink"/>
            <w:rFonts w:ascii="Times New Roman" w:hAnsi="Times New Roman"/>
            <w:b w:val="false"/>
            <w:i w:val="false"/>
            <w:color w:val="000000"/>
            <w:sz w:val="22"/>
          </w:rPr>
          <w:t>441—subrule 77.30(5)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member living with the member’s family or legal representative is not subject to the criteria in 441—paragraphs </w:t>
      </w:r>
      <w:hyperlink r:id="rId24">
        <w:r>
          <w:rPr>
            <w:rStyle w:val="Hyperlink"/>
            <w:rFonts w:ascii="Times New Roman" w:hAnsi="Times New Roman"/>
            <w:b w:val="false"/>
            <w:i w:val="false"/>
            <w:color w:val="000000"/>
            <w:sz w:val="22"/>
          </w:rPr>
          <w:t>77.30(7)</w:t>
        </w:r>
      </w:hyperlink>
      <w:r>
        <w:rPr>
          <w:rFonts w:ascii="Times New Roman" w:hAnsi="Times New Roman"/>
          <w:b w:val="false"/>
          <w:i/>
          <w:color w:val="000000"/>
          <w:sz w:val="22"/>
        </w:rPr>
        <w:t>“d”</w:t>
      </w:r>
      <w:r>
        <w:rPr>
          <w:rFonts w:ascii="Times New Roman" w:hAnsi="Times New Roman"/>
          <w:b w:val="false"/>
          <w:i w:val="false"/>
          <w:color w:val="000000"/>
          <w:sz w:val="22"/>
        </w:rPr>
        <w:t xml:space="preserve"> and </w:t>
      </w:r>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member may not reside in a licensed medical or health care facility or in a setting that is required to be licensed as a medical or health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Home-based habilitation level of service criteria. </w:t>
      </w:r>
      <w:r>
        <w:rPr>
          <w:rFonts w:ascii="Times New Roman" w:hAnsi="Times New Roman"/>
          <w:b w:val="false"/>
          <w:i w:val="false"/>
          <w:color w:val="000000"/>
          <w:sz w:val="22"/>
        </w:rPr>
        <w:t>Home-based habilitation services shall be available to members based on the member’s most current LOCUS/CALOCUS actual disposition score, according to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Intensive IV residential habilitation services. Intensive IV services are provided 24 hours per day. To be eligible for intensive IV services, a member must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 has a LOCUS/CALOCUS actual disposition of level six medically managed  residential services,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member is in need of 24-hour supervised and monitored treatment to maintain or improve functioning and  avoid relapse that would require a higher level of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Intensive III services are provided 17 to 24 hours per day. To be eligible for intensive III services, the member must have a LOCUS/CALOCUS actual disposition of level five.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Intensive II services are provided 13 to 16.75 hours per day. To be eligible for intensive II services, the member must have a LOCUS/CALOCUS actual disposition of level four.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Intensive I services are provided 9 to 12.75 hours per day. To be eligible for intensive I services, the member must have a LOCUS/CALOCUS actual disposition of level three.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Medium need services are provided 4.25 to 8.75 hours per day as needed. To be eligible for medium need services, the member must have a LOCUS/CALOCUS actual disposition of level two.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Recovery transitional services are provided 2.25 to 4 hours per day as needed. To be eligible for recovery transitional services, the member must have a LOCUS/CALOCUS actual disposition of level 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High recovery services are provided 0.25 to 2 hours per day as needed. To be eligible for high recovery services, the member must have a LOCUS/CALOCUS actual disposition of level 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Additional criteria for receiving home-based habilitation services for transition-age youth 16 to 18 years of 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Members residing in the family home may receive home-based habilitation services as needed, subject to the criteria set forth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Individuals 16 to 18 years of age shall receive 24-hour site supervision and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Members residing outside of the family home may receive daily home-based habilitation in a provider-owned or controlled setting when the following criteria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proposed living environment must meet HCBS setting requirements in accordance with </w:t>
      </w:r>
      <w:hyperlink r:id="rId25">
        <w:r>
          <w:rPr>
            <w:rStyle w:val="Hyperlink"/>
            <w:rFonts w:ascii="Times New Roman" w:hAnsi="Times New Roman"/>
            <w:b w:val="false"/>
            <w:i w:val="false"/>
            <w:color w:val="000000"/>
            <w:sz w:val="22"/>
          </w:rPr>
          <w:t>441—subrule 77.30(5)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All providers of the service setting being requested must meet the following additional safety and service requirements for serving youth under the age of 18: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Individuals under the age of 18 may not reside in settings with individuals over the age of 21.</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comprehensive service plan shall specifically identify educational services and supports for individuals who have not obtained a high school diploma or equivalent.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For individuals who have obtained a high school diploma or equivalent, the comprehensive service plan shall include supported employment, additional training, or educational supports.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member’s parent or guardian has consented to home-based habilitation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member is able to pay room and board costs (funding sources may include but are not limited to supplemental security income, child support, adoptions subsidy, or private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Youth under the age of 16 needing daily home-based habilitation outside the family home must receive services in a licensed or certified residential-based supported community living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Exclusions. </w:t>
      </w:r>
      <w:r>
        <w:rPr>
          <w:rFonts w:ascii="Times New Roman" w:hAnsi="Times New Roman"/>
          <w:b w:val="false"/>
          <w:i w:val="false"/>
          <w:color w:val="000000"/>
          <w:sz w:val="22"/>
        </w:rPr>
        <w:t>Home-based habilitation payment will not be made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Room and board and maintenance costs, including the cost of rent or mortgage, utilities, telephone, food, household supplies, and building maintenance, upkeep, or improvement.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Service activities associated with vocational services, day care, medical services, or case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Transportation to and from a day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Services provided to a member who lives in a licensed residential care facility of more than 16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Services provided to a member who lives in a facility that provides the same service as part of an inclusive or “bundled” service rate, such as a nursing facility or an ICF/ID.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Personal care and protective oversight and supervision may be a component part of home-based habilitation services but may not comprise the entirety of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78.27(8)</w:t>
      </w:r>
      <w:r>
        <w:rPr>
          <w:rFonts w:ascii="Times New Roman" w:hAnsi="Times New Roman"/>
          <w:b w:val="false"/>
          <w:i w:val="false"/>
          <w:color w:val="000000"/>
          <w:sz w:val="22"/>
        </w:rPr>
        <w:t> </w:t>
      </w:r>
      <w:r>
        <w:rPr>
          <w:rFonts w:ascii="Times New Roman" w:hAnsi="Times New Roman"/>
          <w:b w:val="false"/>
          <w:i/>
          <w:color w:val="000000"/>
          <w:sz w:val="22"/>
        </w:rPr>
        <w:t xml:space="preserve">Day habilitation. </w:t>
      </w:r>
      <w:r>
        <w:rPr>
          <w:rFonts w:ascii="Times New Roman" w:hAnsi="Times New Roman"/>
          <w:b w:val="false"/>
          <w:i w:val="false"/>
          <w:color w:val="000000"/>
          <w:sz w:val="22"/>
        </w:rPr>
        <w:t>“Day habilitation” means services that provide opportunities and support for community inclusion and build interest in and develop skills for active participation in recreation, volunteerism and integrated community employment. Day habilitation provides assistance with acquisition, retention, or improvement of socialization, community participation, and daily living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Day habilitation activities and environments are designed to foster the acquisition of skills, positive social behavior, greater independence, and personal choice. Services focus on supporting the member to participate in the community, develop social roles and relationships, and increase independence and the potential for employment. Services are designed to assist the member to attain or maintain the member’s individual goals as identified in the member’s comprehensive service plan. Services may also provide wraparound support secondary to community employment. Day habilitation activities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Identifying the member’s interests, preferences, skills, strengths and contributions,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Identifying the conditions and supports necessary for full community inclusion and the potential for competitive integrated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Planning and coordination of the member’s individualized daily and weekly day habilitation 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Developing skills and competencies necessary to pursue competitive integrated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Participating in community activities related to hobbies, leisure, personal health, and wellness,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Participating in community activities related to cultural, civic, and religious interests,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Participating in adult learning opportunities,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Participating in volunteer opportunities,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Training and education in self-advocacy and self-determination to support the member’s ability to make informed choices about where to live, work, and recreate,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Assistance with behavior management and self-regulation,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Use of transportation and other community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Assistance with developing and maintaining natural relationships in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Assistance with identifying and using natural supports,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Assistance with accessing financial literacy and benefits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Other activities deemed necessary to assist the member with full participation in the community, developing social roles and relationships, and increasing independence and the potential for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Family training option. </w:t>
      </w:r>
      <w:r>
        <w:rPr>
          <w:rFonts w:ascii="Times New Roman" w:hAnsi="Times New Roman"/>
          <w:b w:val="false"/>
          <w:i w:val="false"/>
          <w:color w:val="000000"/>
          <w:sz w:val="22"/>
        </w:rPr>
        <w:t>Day habilitation services may include training families in treatment and support methodologies or in the care and use of equipment. Family training may be provided in the member’s home. The unit of service is 15 minutes. The units of services payable are limited to a maximum of 40 units per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Expected outcome of service. </w:t>
      </w:r>
      <w:r>
        <w:rPr>
          <w:rFonts w:ascii="Times New Roman" w:hAnsi="Times New Roman"/>
          <w:b w:val="false"/>
          <w:i w:val="false"/>
          <w:color w:val="000000"/>
          <w:sz w:val="22"/>
        </w:rPr>
        <w:t>The expected outcome of day habilitation services is active participation in the community in which the member lives, works, and recreates. Members are expected to have opportunities to interact with individuals without disabilities in the community, other than those providing direct services, to the same extent as individuals without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Setting. </w:t>
      </w:r>
      <w:r>
        <w:rPr>
          <w:rFonts w:ascii="Times New Roman" w:hAnsi="Times New Roman"/>
          <w:b w:val="false"/>
          <w:i w:val="false"/>
          <w:color w:val="000000"/>
          <w:sz w:val="22"/>
        </w:rPr>
        <w:t>Day habilitation shall take place in community-based, nonresidential settings separate from the member’s residence. Family training may be provided in the member’s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Duration. </w:t>
      </w:r>
      <w:r>
        <w:rPr>
          <w:rFonts w:ascii="Times New Roman" w:hAnsi="Times New Roman"/>
          <w:b w:val="false"/>
          <w:i w:val="false"/>
          <w:color w:val="000000"/>
          <w:sz w:val="22"/>
        </w:rPr>
        <w:t>Day habilitation services shall be furnished as specified in the member’s comprehensive service plan. Meals provided as part of day habilitation shall not constitute a full nutritional regimen (three meals per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Unit of service. </w:t>
      </w:r>
      <w:r>
        <w:rPr>
          <w:rFonts w:ascii="Times New Roman" w:hAnsi="Times New Roman"/>
          <w:b w:val="false"/>
          <w:i w:val="false"/>
          <w:color w:val="000000"/>
          <w:sz w:val="22"/>
        </w:rPr>
        <w:t>A unit of day habilitation is 15 minutes (up to 16 units per day) or a full day (4.25 to 8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Concurrent services. </w:t>
      </w:r>
      <w:r>
        <w:rPr>
          <w:rFonts w:ascii="Times New Roman" w:hAnsi="Times New Roman"/>
          <w:b w:val="false"/>
          <w:i w:val="false"/>
          <w:color w:val="000000"/>
          <w:sz w:val="22"/>
        </w:rPr>
        <w:t>A member’s comprehensive service plan may include two or more types of nonresidential habilitation services (e.g., day habilitation, individual supported employment, long-term job coaching, small-group supported employment, and prevocational services). However, more than one service may not be billed during the same period of time (e.g., the same hour).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Transportation. </w:t>
      </w:r>
      <w:r>
        <w:rPr>
          <w:rFonts w:ascii="Times New Roman" w:hAnsi="Times New Roman"/>
          <w:b w:val="false"/>
          <w:i w:val="false"/>
          <w:color w:val="000000"/>
          <w:sz w:val="22"/>
        </w:rPr>
        <w:t>When transportation is provided to the day habilitation service location from the member’s home and from the day habilitation service location to the member’s home, the day habilitation provider may bill for the time spent transporting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Exclusions. </w:t>
      </w:r>
      <w:r>
        <w:rPr>
          <w:rFonts w:ascii="Times New Roman" w:hAnsi="Times New Roman"/>
          <w:b w:val="false"/>
          <w:i w:val="false"/>
          <w:color w:val="000000"/>
          <w:sz w:val="22"/>
        </w:rPr>
        <w:t>Day habilitation payment will not be made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Services that are available to the individual under a program funded under </w:t>
      </w:r>
      <w:r>
        <w:rPr>
          <w:rFonts w:ascii="Times New Roman" w:hAnsi="Times New Roman"/>
          <w:b w:val="false"/>
          <w:i w:val="false"/>
          <w:color w:val="000000"/>
          <w:sz w:val="22"/>
        </w:rPr>
        <w:t>Section 110 of the Rehabilitation Act of 1973</w:t>
      </w:r>
      <w:r>
        <w:rPr>
          <w:rFonts w:ascii="Times New Roman" w:hAnsi="Times New Roman"/>
          <w:b w:val="false"/>
          <w:i w:val="false"/>
          <w:color w:val="000000"/>
          <w:sz w:val="22"/>
        </w:rPr>
        <w:t xml:space="preserve"> or the Individuals with Disabilities Education Act (</w:t>
      </w:r>
      <w:r>
        <w:rPr>
          <w:rFonts w:ascii="Times New Roman" w:hAnsi="Times New Roman"/>
          <w:b w:val="false"/>
          <w:i w:val="false"/>
          <w:color w:val="000000"/>
          <w:sz w:val="22"/>
        </w:rPr>
        <w:t>20 U.S.C. 1401 et seq.</w:t>
      </w:r>
      <w:r>
        <w:rPr>
          <w:rFonts w:ascii="Times New Roman" w:hAnsi="Times New Roman"/>
          <w:b w:val="false"/>
          <w:i w:val="false"/>
          <w:color w:val="000000"/>
          <w:sz w:val="22"/>
        </w:rPr>
        <w:t xml:space="preserve"> as amended to July 1, 2026). Documentation that funding is not available to the individual for the service under these programs shall be maintained in the service plan of each member receiving day habilitation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Compensation to members for participating in day habilitation.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Support for members volunteering in for-profit organizations and businesses.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Support for members volunteering to benefit the day habilitation service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78.27(9)</w:t>
      </w:r>
      <w:r>
        <w:rPr>
          <w:rFonts w:ascii="Times New Roman" w:hAnsi="Times New Roman"/>
          <w:b w:val="false"/>
          <w:i w:val="false"/>
          <w:color w:val="000000"/>
          <w:sz w:val="22"/>
        </w:rPr>
        <w:t> </w:t>
      </w:r>
      <w:r>
        <w:rPr>
          <w:rFonts w:ascii="Times New Roman" w:hAnsi="Times New Roman"/>
          <w:b w:val="false"/>
          <w:i/>
          <w:color w:val="000000"/>
          <w:sz w:val="22"/>
        </w:rPr>
        <w:t xml:space="preserve">Prevocational service habilitation. </w:t>
      </w:r>
      <w:r>
        <w:rPr>
          <w:rFonts w:ascii="Times New Roman" w:hAnsi="Times New Roman"/>
          <w:b w:val="false"/>
          <w:i w:val="false"/>
          <w:color w:val="000000"/>
          <w:sz w:val="22"/>
        </w:rPr>
        <w:t>“Prevocational services” means services that provide career exploration, learning and work experiences, including volunteer opportunities, where the member can develop non-job-task-specific strengths and skills that lead to paid employment in individual community settings.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Prevocational services are provided to persons who are expected to be able to join the general workforce with the assistance of supported employment. Prevocational services are intended to develop and teach general employability skills relevant to successful participation in individual employment. These skills include but are not limited to the ability to communicate effectively with supervisors, coworkers and customers; an understanding of generally accepted community workplace conduct and dress; the ability to follow directions; the ability to attend to tasks; workplace problem-solving skills and strategies; general workplace safety and mobility training; the ability to navigate local transportation options; financial literacy skills; and skills related to obtaining employment.</w:t>
      </w:r>
    </w:p>
    <w:p>
      <w:pPr>
        <w:spacing w:before="0" w:after="0"/>
        <w:ind w:left="120"/>
        <w:jc w:val="both"/>
      </w:pPr>
      <w:r>
        <w:rPr>
          <w:rFonts w:ascii="Times New Roman" w:hAnsi="Times New Roman"/>
          <w:b w:val="false"/>
          <w:i w:val="false"/>
          <w:color w:val="000000"/>
          <w:sz w:val="22"/>
        </w:rPr>
        <w:t>Prevocational services include career exploration activities to facilitate successful transition to individual employment in the community. Participation in prevocational services is not a prerequisite for individual or small-group supported employment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Career exploration. Career exploration activities are designed to develop an individual career plan and facilitate the member’s experientially based informed choice regarding the goal of individual employment. Career exploration may be provided in small groups of no more than four members to participate in career exploration activities that include business tours, attending industry education events, benefit information, financial literacy classes, and attending career fairs. Career exploration may be authorized for up to 34 hours, to be completed over 90 days in the member’s local community or nearby communities and may include but is not limited to the following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Meeting with the member and the member’s family, guardian or legal representative to introduce them to supported employment and explore the member’s employment goals and experiences,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Business tours,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Informational interviews,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Job shadows,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Benefits education and financial literacy,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Assistive technology assessment,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Job exploration events.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Expected outcome of service.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expected outcome of prevocational services is individual employment in the general workforce, or self-employment, in a setting typically found in the community, where the member interacts with individuals without disabilities, other than those providing services to the member or other individuals with disabilities, to the same extent that individuals without disabilities in comparable positions interact with other persons; and for which the member is compensated at or above the minimum wage, but not less than the customary wage and level of benefits paid by the employer for the same or similar work performed by individuals without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expected outcome of the career exploration activity is a written career plan that will guide employment services that lead to community employment or self-employment for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Setting. </w:t>
      </w:r>
      <w:r>
        <w:rPr>
          <w:rFonts w:ascii="Times New Roman" w:hAnsi="Times New Roman"/>
          <w:b w:val="false"/>
          <w:i w:val="false"/>
          <w:color w:val="000000"/>
          <w:sz w:val="22"/>
        </w:rPr>
        <w:t>Prevocational services shall take place in community-based nonresidential settings.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Concurrent services. </w:t>
      </w:r>
      <w:r>
        <w:rPr>
          <w:rFonts w:ascii="Times New Roman" w:hAnsi="Times New Roman"/>
          <w:b w:val="false"/>
          <w:i w:val="false"/>
          <w:color w:val="000000"/>
          <w:sz w:val="22"/>
        </w:rPr>
        <w:t>A member’s individual service plan may include two or more types of nonresidential habilitation services (e.g., individual supported employment, long-term job coaching, small-group supported employment, prevocational services, and day habilitation); however, more than one service may not be billed during the same period of time (e.g., the same hour).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Exclusions. </w:t>
      </w:r>
      <w:r>
        <w:rPr>
          <w:rFonts w:ascii="Times New Roman" w:hAnsi="Times New Roman"/>
          <w:b w:val="false"/>
          <w:i w:val="false"/>
          <w:color w:val="000000"/>
          <w:sz w:val="22"/>
        </w:rPr>
        <w:t>Prevocational services payment shall not be made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Services that are available to the individual under a program funded under </w:t>
      </w:r>
      <w:r>
        <w:rPr>
          <w:rFonts w:ascii="Times New Roman" w:hAnsi="Times New Roman"/>
          <w:b w:val="false"/>
          <w:i w:val="false"/>
          <w:color w:val="000000"/>
          <w:sz w:val="22"/>
        </w:rPr>
        <w:t>Section 110 of the Rehabilitation Act of 1973</w:t>
      </w:r>
      <w:r>
        <w:rPr>
          <w:rFonts w:ascii="Times New Roman" w:hAnsi="Times New Roman"/>
          <w:b w:val="false"/>
          <w:i w:val="false"/>
          <w:color w:val="000000"/>
          <w:sz w:val="22"/>
        </w:rPr>
        <w:t xml:space="preserve"> or the Individuals with Disabilities Education Act (</w:t>
      </w:r>
      <w:r>
        <w:rPr>
          <w:rFonts w:ascii="Times New Roman" w:hAnsi="Times New Roman"/>
          <w:b w:val="false"/>
          <w:i w:val="false"/>
          <w:color w:val="000000"/>
          <w:sz w:val="22"/>
        </w:rPr>
        <w:t>20 U.S.C. 1401 et seq.</w:t>
      </w:r>
      <w:r>
        <w:rPr>
          <w:rFonts w:ascii="Times New Roman" w:hAnsi="Times New Roman"/>
          <w:b w:val="false"/>
          <w:i w:val="false"/>
          <w:color w:val="000000"/>
          <w:sz w:val="22"/>
        </w:rPr>
        <w:t xml:space="preserve"> as amended to July 1, 2026). Documentation that funding is not available to the individual for the service under these programs shall be maintained in the service plan of each member receiving prevocational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Services available to the individual that duplicate or replace education or related services defined in the Individuals with Disabilities Education Act (</w:t>
      </w:r>
      <w:r>
        <w:rPr>
          <w:rFonts w:ascii="Times New Roman" w:hAnsi="Times New Roman"/>
          <w:b w:val="false"/>
          <w:i w:val="false"/>
          <w:color w:val="000000"/>
          <w:sz w:val="22"/>
        </w:rPr>
        <w:t>20 U.S.C. 1401 et seq.</w:t>
      </w:r>
      <w:r>
        <w:rPr>
          <w:rFonts w:ascii="Times New Roman" w:hAnsi="Times New Roman"/>
          <w:b w:val="false"/>
          <w:i w:val="false"/>
          <w:color w:val="000000"/>
          <w:sz w:val="22"/>
        </w:rPr>
        <w:t xml:space="preserve">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Compensation to members for participating in prevocational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Support for members volunteering in for-profit organizations and businesses other than for-profit organizations, or businesses that have formal volunteer programs in place (e.g., hospitals, nursing homes), and support for members volunteering to benefit the service provider.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provision of vocational services delivered in facility-based settings where individuals are supervised for the primary purpose of producing goods or performing services or where services are aimed at teaching skills for specific types of jobs rather than general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prevocational service plan with the goal or purpose of the service documented as maintaining or supporting the individual in continuing prevocational services or any employment situation similar to sheltered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Limitations.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Time limitation for members starting prevocational services. For members starting prevocational services, participation in these services is limited to 24 calendar months. This time limit can be extended to continue beyond 24 months if one or more of the following conditions apply: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 who is in prevocational services is also working in either individual or small-group community employment for at least the number of hours per week desired by the member, as identified in the member’s current service plan;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member who is in prevocational services is also working in either individual or small-group community employment for less than the number of hours per week the member desires, as identified in the member’s current service plan, but the member has services documented in the member’s current service plan, or through another identifiable funding source (e.g., Iowa vocational rehabilitation services (IVRS)), to increase the number of hours the member is working in either individual or small-group community employment;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member is actively engaged in seeking individual or small-group community employment or individual self-employment, and services for this are included in the member’s current service plan or services funded through another identifiable funding source (e.g., IVRS) are documented in the member’s service plan;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member has requested supported employment services from Medicaid and IVRS in the past 24 months, and the member’s request has been denied or the member has been placed on a waiting list by both Medicaid and IVRS;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member has been receiving individual supported employment services (or comparable services available through IVRS) for at least 18 months without obtaining individual or small-group community employment or individual self-employment;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member is participating in career exploration activities as described in subparagraph </w:t>
      </w:r>
      <w:hyperlink r:id="rId26">
        <w:r>
          <w:rPr>
            <w:rStyle w:val="Hyperlink"/>
            <w:rFonts w:ascii="Times New Roman" w:hAnsi="Times New Roman"/>
            <w:b w:val="false"/>
            <w:i w:val="false"/>
            <w:color w:val="000000"/>
            <w:sz w:val="22"/>
          </w:rPr>
          <w:t>78.27(9)</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Time limitation for members enrolled in prevocational services. For members enrolled in prevocational services, participation in these services is limited to 90 business days beyond the completion of the career exploration activity including the development of the career plan described in subparagraph </w:t>
      </w:r>
      <w:hyperlink r:id="rId27">
        <w:r>
          <w:rPr>
            <w:rStyle w:val="Hyperlink"/>
            <w:rFonts w:ascii="Times New Roman" w:hAnsi="Times New Roman"/>
            <w:b w:val="false"/>
            <w:i w:val="false"/>
            <w:color w:val="000000"/>
            <w:sz w:val="22"/>
          </w:rPr>
          <w:t>78.27(9)</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This time limit can be extended as stated in numbered paragraphs </w:t>
      </w:r>
      <w:hyperlink r:id="rId28">
        <w:r>
          <w:rPr>
            <w:rStyle w:val="Hyperlink"/>
            <w:rFonts w:ascii="Times New Roman" w:hAnsi="Times New Roman"/>
            <w:b w:val="false"/>
            <w:i w:val="false"/>
            <w:color w:val="000000"/>
            <w:sz w:val="22"/>
          </w:rPr>
          <w:t>78.27(9)</w:t>
        </w:r>
        <w:r>
          <w:rPr>
            <w:rFonts w:ascii="Times New Roman" w:hAnsi="Times New Roman"/>
            <w:b w:val="false"/>
            <w:i/>
            <w:color w:val="000000"/>
            <w:sz w:val="22"/>
          </w:rPr>
          <w:t>“e”</w:t>
        </w:r>
      </w:hyperlink>
      <w:r>
        <w:rPr>
          <w:rFonts w:ascii="Times New Roman" w:hAnsi="Times New Roman"/>
          <w:b w:val="false"/>
          <w:i w:val="false"/>
          <w:color w:val="000000"/>
          <w:sz w:val="22"/>
        </w:rPr>
        <w:t xml:space="preserve">(1)“1” through “6.” If the criteria in numbered paragraphs </w:t>
      </w:r>
      <w:hyperlink r:id="rId29">
        <w:r>
          <w:rPr>
            <w:rStyle w:val="Hyperlink"/>
            <w:rFonts w:ascii="Times New Roman" w:hAnsi="Times New Roman"/>
            <w:b w:val="false"/>
            <w:i w:val="false"/>
            <w:color w:val="000000"/>
            <w:sz w:val="22"/>
          </w:rPr>
          <w:t>78.27(9)</w:t>
        </w:r>
        <w:r>
          <w:rPr>
            <w:rFonts w:ascii="Times New Roman" w:hAnsi="Times New Roman"/>
            <w:b w:val="false"/>
            <w:i/>
            <w:color w:val="000000"/>
            <w:sz w:val="22"/>
          </w:rPr>
          <w:t>“e”</w:t>
        </w:r>
      </w:hyperlink>
      <w:r>
        <w:rPr>
          <w:rFonts w:ascii="Times New Roman" w:hAnsi="Times New Roman"/>
          <w:b w:val="false"/>
          <w:i w:val="false"/>
          <w:color w:val="000000"/>
          <w:sz w:val="22"/>
        </w:rPr>
        <w:t xml:space="preserve">(1)“1” through “6” do not apply, the member will not be reauthorized to continue prevocational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78.27(10)</w:t>
      </w:r>
      <w:r>
        <w:rPr>
          <w:rFonts w:ascii="Times New Roman" w:hAnsi="Times New Roman"/>
          <w:b w:val="false"/>
          <w:i w:val="false"/>
          <w:color w:val="000000"/>
          <w:sz w:val="22"/>
        </w:rPr>
        <w:t> </w:t>
      </w:r>
      <w:r>
        <w:rPr>
          <w:rFonts w:ascii="Times New Roman" w:hAnsi="Times New Roman"/>
          <w:b w:val="false"/>
          <w:i/>
          <w:color w:val="000000"/>
          <w:sz w:val="22"/>
        </w:rPr>
        <w:t xml:space="preserve">Supported employment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Individual supported employment. </w:t>
      </w:r>
      <w:r>
        <w:rPr>
          <w:rFonts w:ascii="Times New Roman" w:hAnsi="Times New Roman"/>
          <w:b w:val="false"/>
          <w:i w:val="false"/>
          <w:color w:val="000000"/>
          <w:sz w:val="22"/>
        </w:rPr>
        <w:t xml:space="preserve">Individual supported employment involves supports provided to, or on behalf of, the member that enable the member to obtain and maintain individual employment. Services are provided to members who need support because of their disabilities.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Scope. Individual supported employment services are services provided to, or on behalf of, the member that enable the member to obtain and maintain an individual job in competitive employment, customized employment or self-employment in an integrated work setting in the general workforce.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Expected outcome of service. The expected outcome of this service is sustained employment, or self-employment, paid at or above the minimum wage or the customary wage and level of benefits paid by an employer, in an integrated setting in the general workforce, in a job that meets personal and career goals. Successful transition to long-term job coaching, if needed, is also an expected outcome of this service. An expected outcome of supported self-employment is that the member earns income that is equal to or exceeds the average income for the chosen business within a reasonable period of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Setting. Individual supported employment services shall take place in integrated work settings. For self-employment, the member’s home can be considered an integrated work setting. Employment in the service provider’s organization (not including a sheltered workshop or similar type of work setting where members are paid for the production of goods or services) can be considered employment in an integrated work setting in the general workforce if the employment occurs in a work setting where interactions are predominantly with coworkers or business associates who do not have disabilities or with the general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Individual employment strategies include but are not limited to customized employment, individual placement and support, and supported self-employment. Service activities are individualized and may include any combination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Benefits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Career exploration (e.g., tours, informational interviews, job shadows).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Employment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Assistive technology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Trial work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Person-centered employment planning.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Development of visual/traditional résumés.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Job-seeking skills training and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Outreach to prospective employers on behalf of the member (e.g., job development; negotiation with prospective employers to customize, create or carve out a position for the member; employer needs analysis).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Job analysis (e.g., work site assessment or job accommodations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Identifying and arranging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Career advancement services (e.g., assisting a member in making an upward career move or seeking promotion from an existing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Reemployment services (if necessary due to job loss).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Financial literacy and asset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Other employment support services deemed necessary to enable the member to obtain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Systematic instruction and support during initial on-the-job training including initial on-the-job training to stabilization.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Engagement of natural supports during initial period of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Implementation of assistive technology solutions during initial period of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Transportation of the member during service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20.</w:t>
      </w:r>
      <w:r>
        <w:rPr>
          <w:rFonts w:ascii="Times New Roman" w:hAnsi="Times New Roman"/>
          <w:b w:val="false"/>
          <w:i w:val="false"/>
          <w:color w:val="000000"/>
          <w:sz w:val="22"/>
        </w:rPr>
        <w:t>  </w:t>
      </w:r>
      <w:r>
        <w:rPr>
          <w:rFonts w:ascii="Times New Roman" w:hAnsi="Times New Roman"/>
          <w:b w:val="false"/>
          <w:i w:val="false"/>
          <w:color w:val="000000"/>
          <w:sz w:val="22"/>
        </w:rPr>
        <w:t>Initial on-the-job training to stabilization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Self-employment. Individual employment may also include support to establish a viable self-employment opportunity, including home-based self-employment. An expected outcome of supported self-employment is that the member earns income that is equal to or exceeds the average income for the chosen business within a reasonable period of time. In addition to the activities listed under subparagraph </w:t>
      </w:r>
      <w:hyperlink r:id="rId30">
        <w:r>
          <w:rPr>
            <w:rStyle w:val="Hyperlink"/>
            <w:rFonts w:ascii="Times New Roman" w:hAnsi="Times New Roman"/>
            <w:b w:val="false"/>
            <w:i w:val="false"/>
            <w:color w:val="000000"/>
            <w:sz w:val="22"/>
          </w:rPr>
          <w:t>78.27(10)</w:t>
        </w:r>
        <w:r>
          <w:rPr>
            <w:rFonts w:ascii="Times New Roman" w:hAnsi="Times New Roman"/>
            <w:b w:val="false"/>
            <w:i/>
            <w:color w:val="000000"/>
            <w:sz w:val="22"/>
          </w:rPr>
          <w:t>“a”</w:t>
        </w:r>
        <w:r>
          <w:rPr>
            <w:rFonts w:ascii="Times New Roman" w:hAnsi="Times New Roman"/>
            <w:b w:val="false"/>
            <w:i w:val="false"/>
            <w:color w:val="000000"/>
            <w:sz w:val="22"/>
          </w:rPr>
          <w:t>(4)</w:t>
        </w:r>
      </w:hyperlink>
      <w:r>
        <w:rPr>
          <w:rFonts w:ascii="Times New Roman" w:hAnsi="Times New Roman"/>
          <w:b w:val="false"/>
          <w:i w:val="false"/>
          <w:color w:val="000000"/>
          <w:sz w:val="22"/>
        </w:rPr>
        <w:t>, assistance to establish self-employment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Aid to the member in identifying potential business opportunities.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Assistance in the development of a business plan, including identifying potential sources of business financing and other assistance in developing and launching a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Identification of the long-term supports necessary for the individual to operate the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Long-term job coaching. </w:t>
      </w:r>
      <w:r>
        <w:rPr>
          <w:rFonts w:ascii="Times New Roman" w:hAnsi="Times New Roman"/>
          <w:b w:val="false"/>
          <w:i w:val="false"/>
          <w:color w:val="000000"/>
          <w:sz w:val="22"/>
        </w:rPr>
        <w:t xml:space="preserve">Long-term job coaching is support provided to, or on behalf of, the member that enables the member to maintain an individual job in competitive employment, customized employment or self-employment in an integrated work setting in the general workforce.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Scope. Long-term job coaching services are provided to or on behalf of members who need support because of their disabilities and who are unlikely to maintain and advance in individual employment absent the provision of supports. Long-term job coaching services shall provide individualized and ongoing support contacts at intervals necessary to promote successful job retention and advancement.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Expected outcome of service. The expected outcome of this service is sustained employment paid at or above the minimum wage in an integrated setting in the general workforce, in a job that meets the member’s personal and career goals. An expected outcome of supported self-employment is that the member earns income that is equal to or exceeds the average income for the chosen business within a reasonable period of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Setting. Long-term job coaching services shall take place in integrated work settings. For self-employment, the member’s home can be considered an integrated work setting. Employment in the service provider’s organization (not including a sheltered workshop or similar type of work setting) can be considered employment in an integrated work setting in the general workforce if the employment occurs in a work setting where interactions are predominantly with coworkers or business associates who do not have disabilities, or with the general public, and if the position would exist within the provider’s organization were the provider not being paid to provide the job coaching to the member.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 activities. Long-term job coaching services are designed to assist the member with learning and retaining individual employment, resulting in workplace integration, which allows the reduction of long-term job coaching over time. Services are individualized, and service plans are adjusted as support needs change and may include any combination of the following activities with or on behalf of the member: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Job analysis.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Job training and systematic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Training and support for use of assistive technology/adaptive aids.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Engagement of natural supports.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Transportation coordination.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Job retention training and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Benefits education and ongoing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Supports for career advancement.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Financial literacy and asset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Employer consultation and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Negotiation with employer on behalf of the member (e.g., accommodations; employment conditions; access to natural supports; and wage and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Other workplace support services may include services not specifically related to job skill training that enable the waiver member to be successful in integrating into the job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Transportation of the member during service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Career exploration services leading to increased hours or career advancement.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Self-employment long-term job coaching. Self-employment long-term job coaching may include support to maintain a self-employment opportunity, including home-based self-employment. In addition to the activities listed under subparagraph </w:t>
      </w:r>
      <w:hyperlink r:id="rId31">
        <w:r>
          <w:rPr>
            <w:rStyle w:val="Hyperlink"/>
            <w:rFonts w:ascii="Times New Roman" w:hAnsi="Times New Roman"/>
            <w:b w:val="false"/>
            <w:i w:val="false"/>
            <w:color w:val="000000"/>
            <w:sz w:val="22"/>
          </w:rPr>
          <w:t>78.27(10)</w:t>
        </w:r>
        <w:r>
          <w:rPr>
            <w:rFonts w:ascii="Times New Roman" w:hAnsi="Times New Roman"/>
            <w:b w:val="false"/>
            <w:i/>
            <w:color w:val="000000"/>
            <w:sz w:val="22"/>
          </w:rPr>
          <w:t>“b”</w:t>
        </w:r>
        <w:r>
          <w:rPr>
            <w:rFonts w:ascii="Times New Roman" w:hAnsi="Times New Roman"/>
            <w:b w:val="false"/>
            <w:i w:val="false"/>
            <w:color w:val="000000"/>
            <w:sz w:val="22"/>
          </w:rPr>
          <w:t>(4)</w:t>
        </w:r>
      </w:hyperlink>
      <w:r>
        <w:rPr>
          <w:rFonts w:ascii="Times New Roman" w:hAnsi="Times New Roman"/>
          <w:b w:val="false"/>
          <w:i w:val="false"/>
          <w:color w:val="000000"/>
          <w:sz w:val="22"/>
        </w:rPr>
        <w:t xml:space="preserve">, assistance to maintain self-employment may include: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Ongoing identification of the supports necessary for the individual to operate the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Ongoing assistance, counseling and guidance to maintain and grow the business;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Ongoing benefits education and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hours of support for long-term job coaching are based on the identified needs of the member as documented in the member’s comprehensive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Small-group supported employment. </w:t>
      </w:r>
      <w:r>
        <w:rPr>
          <w:rFonts w:ascii="Times New Roman" w:hAnsi="Times New Roman"/>
          <w:b w:val="false"/>
          <w:i w:val="false"/>
          <w:color w:val="000000"/>
          <w:sz w:val="22"/>
        </w:rPr>
        <w:t>Small-group supported employment services are training and support activities provided in regular business or industry settings for groups of two to eight workers with disabilities. The outcome of this service is sustained paid employment experience, skill development, career exploration and planning leading to referral for services to obtain individual integrated employment or self-employment for which an individual is compensated at or above the minimum wage, but not less than the customary wage and level of benefits paid by the employer for the same or similar work performed by individuals without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Scope. Small-group supported employment services must be provided in a manner that promotes integration into the workplace and interaction between members and people without disabilities (e.g., customers, coworkers, natural supports) in those workplaces. Examples include but are not limited to mobile crews and other business-based workgroups employing small groups of workers with disabilities in employment in integrated business settings; and small-group activities focused on career exploration and development of strengths and skills that contribute to successful participation in individual community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Expected outcome of service. Small-group supported employment services are expected to enable the member to make reasonable and continued progress toward individual employment. Participation in small-group supported employment services is not a prerequisite for individual supported employment services. The expected outcome of the service is sustained paid employment and skill development that leads to individual employment in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Setting. Small-group supported employment services shall take place in integrated, community-based nonresidential settings separate from the member’s residence.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 activities. Small-group supported employment services may include any combination of the following activities: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Employment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Person-centered employment planning.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Job placement (limited to service necessary to facilitate hire into individual employment paid at minimum wage or higher for a member in small-group supported employment who receives an otherwise unsolicited offer of a job from a business where the member has been working in a mobile crew or enclave).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Job analysis.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On-the-job training and systematic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Job coaching.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Transportation planning and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Benefits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Career exploration services leading to career advancement outcomes.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Other workplace support services may include services not specifically related to job skill training that enable the waiver member to be successful in integrating into the individual or community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Transportation of the member during service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Individual placement and support (IPS).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IPS shall include the following activities, which shall be described and documented in the member’s employment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Development of the career profile, including previous work experience, goals, preferences, strengths, barriers, skills, disclosure preferences, career advancement, education and plan for graduation.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Integration of IPS team members and the behavioral health team, including routine staffing meetings regarding IPS clients.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Addressing barriers to employment, which may be actual or perceived. Support may include addressing justice system involvement, a lack of work history, limited housing, child care, and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Rapid job search and systematic job development. Community and employment supports (CESs) help members seek jobs directly and do not provide extensive preemployment assessment and training or intermediate work experiences. The job process begins within 30 days of starting IPS services. This rapid job search is supported by CESs developing relationships with employers through multiple face-to-face meetings. CESs take time to learn about the employers’ needs and the work environment while gathering information about job opportunities that might be a good fit for individuals they are working with.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Disclosure counseling, to assist the member in making an informed decision on disclosure of a disability to a prospective or current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Identification and implementation of job accommodations and assistive technology supports.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Ongoing benefits counseling. The member must receive information on available work incentive programs, or referral to professional benefits counselors for a personalized work incentives plan for any state or federal entitlement.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Time-unlimited follow-along supports. These supports are planned for early in the employment process, are personalized, and follow the member for as long as the member needs support. The focus is supporting the member in becoming as independent as possible and involving family members, co-workers, and other natural supports. These supports can be provided on or off the job site and focus on the continued acquisition and development of skills needed to maintain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Units of service. Reimbursement is made for each outcome achieved for the member participating in the IPS supported employment model. Outcomes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Outcome #1: Completed employment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Outcome #2: First day of successful job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Outcome #3: 45 days successful job retention.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Outcome #4: 90 days successful job retention.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Service requirements for all supported employment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Community transportation options (e.g., transportation provided by family, coworkers, carpools, volunteers, self or public transportation) shall be identified by the member’s interdisciplinary team and utilized before the service provider provides the transportation to and from work for the member. If none of these options are available to a member, transportation between the member’s place of residence and the employment or service location may be included as a component part of supported employment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Personal care or personal assistance and protective oversight may be a component part of supported employment services, but may not comprise the entirety of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Activities performed on behalf of a member receiving long-term job coaching or individual or small-group supported employment shall not comprise the entirety of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Concurrent services. A member’s individual service plan may include two or more types of nonresidential services (e.g., individual supported employment, long-term job coaching, small-group supported employment, prevocational services, and day habilitation); however, more than one service may not be billed during the same period of time (e.g., the same hour).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Integration requirements. In the performance of job duties, the member shall have regular contact with other employees or members of the general public who do not have disabilities, unless the absence of regular contact with other employees or the general public is typical for the job as performed by persons without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Compensation. Members receiving these services are compensated at or above the minimum wage, but not less than the customary wage and level of benefits paid by the employer for the same or similar work performed by individuals without disabilities. For supported self-employment, the member earns income that is equal to or exceeds the average income for the chosen business within a reasonable period of time. For small-group supported employment, if the member is not compensated at or above minimum wage, the compensation to the member shall be in accordance with all applicable state and federal labor laws and regulations.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Limitations. </w:t>
      </w:r>
      <w:r>
        <w:rPr>
          <w:rFonts w:ascii="Times New Roman" w:hAnsi="Times New Roman"/>
          <w:b w:val="false"/>
          <w:i w:val="false"/>
          <w:color w:val="000000"/>
          <w:sz w:val="22"/>
        </w:rPr>
        <w:t>Supported employment services are limited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Total monthly costs of supported employment may not exceed the monthly cap on the cost of waiver services set for the individual waiver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absence of a monthly cap on the cost of waiver services, the total monthly cost of all supported employment services may not exceed the cost limitations published on the Iowa Medicaid fee schedule webpage.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Individual supported employment is limited to 60 hourly units per calendar year.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Long-term job coaching is limited in accordance with </w:t>
      </w:r>
      <w:hyperlink r:id="rId32">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Small-group supported employment is limited to 160 units per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Exclusions. </w:t>
      </w:r>
      <w:r>
        <w:rPr>
          <w:rFonts w:ascii="Times New Roman" w:hAnsi="Times New Roman"/>
          <w:b w:val="false"/>
          <w:i w:val="false"/>
          <w:color w:val="000000"/>
          <w:sz w:val="22"/>
        </w:rPr>
        <w:t>Supported employment services payments will not be made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Services that are available to the individual under a program funded under </w:t>
      </w:r>
      <w:r>
        <w:rPr>
          <w:rFonts w:ascii="Times New Roman" w:hAnsi="Times New Roman"/>
          <w:b w:val="false"/>
          <w:i w:val="false"/>
          <w:color w:val="000000"/>
          <w:sz w:val="22"/>
        </w:rPr>
        <w:t>Section 110 of the Rehabilitation Act of 1973</w:t>
      </w:r>
      <w:r>
        <w:rPr>
          <w:rFonts w:ascii="Times New Roman" w:hAnsi="Times New Roman"/>
          <w:b w:val="false"/>
          <w:i w:val="false"/>
          <w:color w:val="000000"/>
          <w:sz w:val="22"/>
        </w:rPr>
        <w:t xml:space="preserve"> or the Individuals with Disabilities Education Act (</w:t>
      </w:r>
      <w:r>
        <w:rPr>
          <w:rFonts w:ascii="Times New Roman" w:hAnsi="Times New Roman"/>
          <w:b w:val="false"/>
          <w:i w:val="false"/>
          <w:color w:val="000000"/>
          <w:sz w:val="22"/>
        </w:rPr>
        <w:t>20 U.S.C. 1401 et seq.</w:t>
      </w:r>
      <w:r>
        <w:rPr>
          <w:rFonts w:ascii="Times New Roman" w:hAnsi="Times New Roman"/>
          <w:b w:val="false"/>
          <w:i w:val="false"/>
          <w:color w:val="000000"/>
          <w:sz w:val="22"/>
        </w:rPr>
        <w:t xml:space="preserve"> as amended to July 1, 2026). Documentation that the service is not available to the individual under these programs shall be maintained in the service plan of each member receiving individual supported employment or long-term job coaching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Incentive payments, not including payments for coworker supports, made to an employer to encourage or subsidize the employer’s participation in a supported employment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Subsidies or payments that are passed through to users of supported employment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Training that is not directly related to a member’s supported employment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Services involved in placing and stabilizing members in day activity programs, work activity programs, sheltered workshop programs or other similar types of vocational or prevocational services furnished in specialized facilities that are not a part of the general workplace.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Supports for placement and stabilization in volunteer positions or unpaid internships. Such volunteer learning and unpaid training activities that prepare a person for entry into the general workforce are addressed through prevocational services and career exploration activities.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Tuition for education or vocational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Individual advocacy that is not related to integrated individual employment participation or is not member-specific.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Medicaid funds may not be used to defray the expenses associated with starting up or operating a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78.27(11)</w:t>
      </w:r>
      <w:r>
        <w:rPr>
          <w:rFonts w:ascii="Times New Roman" w:hAnsi="Times New Roman"/>
          <w:b w:val="false"/>
          <w:i w:val="false"/>
          <w:color w:val="000000"/>
          <w:sz w:val="22"/>
        </w:rPr>
        <w:t> </w:t>
      </w:r>
      <w:r>
        <w:rPr>
          <w:rFonts w:ascii="Times New Roman" w:hAnsi="Times New Roman"/>
          <w:b w:val="false"/>
          <w:i/>
          <w:color w:val="000000"/>
          <w:sz w:val="22"/>
        </w:rPr>
        <w:t xml:space="preserve">Adverse service actions.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Denial. </w:t>
      </w:r>
      <w:r>
        <w:rPr>
          <w:rFonts w:ascii="Times New Roman" w:hAnsi="Times New Roman"/>
          <w:b w:val="false"/>
          <w:i w:val="false"/>
          <w:color w:val="000000"/>
          <w:sz w:val="22"/>
        </w:rPr>
        <w:t>Services will be denied when the department determines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 is not eligible for or in need of home- and community-based habilitation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service is not identified in the member’s comprehensive service plan or 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Needed services are not available or received from qualifying providers, or no qualifying providers are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member’s service needs exceed the unit or reimbursement maximums for a service as set forth in </w:t>
      </w:r>
      <w:hyperlink r:id="rId33">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Completion or receipt of required documents for the program has not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Reduction. </w:t>
      </w:r>
      <w:r>
        <w:rPr>
          <w:rFonts w:ascii="Times New Roman" w:hAnsi="Times New Roman"/>
          <w:b w:val="false"/>
          <w:i w:val="false"/>
          <w:color w:val="000000"/>
          <w:sz w:val="22"/>
        </w:rPr>
        <w:t>A particular home- and community-based habilitation service may be reduced when the department determines that continued provision of service at its current level is not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Termination. </w:t>
      </w:r>
      <w:r>
        <w:rPr>
          <w:rFonts w:ascii="Times New Roman" w:hAnsi="Times New Roman"/>
          <w:b w:val="false"/>
          <w:i w:val="false"/>
          <w:color w:val="000000"/>
          <w:sz w:val="22"/>
        </w:rPr>
        <w:t>A particular home- and community-based habilitation service may be terminated when the department determines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member’s income exceeds the allowable limit, or the member no longer meets other eligibility criteria for the program established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service is not identified in the member’s comprehensive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Needed services are not available or received from qualifying providers, or no qualifying providers are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member’s service needs are not being met by the services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member has received care in a medical institution for 120 consecutive days in any one stay. When a member has been an inpatient in a medical institution for 120 consecutive days, the department will issue a notice of decision pursuant to </w:t>
      </w:r>
      <w:hyperlink r:id="rId34">
        <w:r>
          <w:rPr>
            <w:rStyle w:val="Hyperlink"/>
            <w:rFonts w:ascii="Times New Roman" w:hAnsi="Times New Roman"/>
            <w:b w:val="false"/>
            <w:i w:val="false"/>
            <w:color w:val="000000"/>
            <w:sz w:val="22"/>
          </w:rPr>
          <w:t>441—Chapter 16</w:t>
        </w:r>
      </w:hyperlink>
      <w:r>
        <w:rPr>
          <w:rFonts w:ascii="Times New Roman" w:hAnsi="Times New Roman"/>
          <w:b w:val="false"/>
          <w:i w:val="false"/>
          <w:color w:val="000000"/>
          <w:sz w:val="22"/>
        </w:rPr>
        <w:t xml:space="preserve"> to inform the member of the service termination. If the member returns home before the effective date of the notice of decision and the member’s condition has not substantially changed, the decision will be rescinded, and eligibility for home- and community-based habilitation services shall continue.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member’s service needs exceed the unit or reimbursement maximums for a service as established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Duplication of services provided during the same period has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member or the member’s legal representative, through the interdisciplinary process, requests termination of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Completion or receipt of required documents for the program has not occurred, or the member refuses to allow documentation of eligibility as to need and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Appeal rights. </w:t>
      </w:r>
      <w:r>
        <w:rPr>
          <w:rFonts w:ascii="Times New Roman" w:hAnsi="Times New Roman"/>
          <w:b w:val="false"/>
          <w:i w:val="false"/>
          <w:color w:val="000000"/>
          <w:sz w:val="22"/>
        </w:rPr>
        <w:t xml:space="preserve">The department shall give notice of any adverse action pursuant to </w:t>
      </w:r>
      <w:hyperlink r:id="rId35">
        <w:r>
          <w:rPr>
            <w:rStyle w:val="Hyperlink"/>
            <w:rFonts w:ascii="Times New Roman" w:hAnsi="Times New Roman"/>
            <w:b w:val="false"/>
            <w:i w:val="false"/>
            <w:color w:val="000000"/>
            <w:sz w:val="22"/>
          </w:rPr>
          <w:t>441—Chapter 16</w:t>
        </w:r>
      </w:hyperlink>
      <w:r>
        <w:rPr>
          <w:rFonts w:ascii="Times New Roman" w:hAnsi="Times New Roman"/>
          <w:b w:val="false"/>
          <w:i w:val="false"/>
          <w:color w:val="000000"/>
          <w:sz w:val="22"/>
        </w:rPr>
        <w:t xml:space="preserve"> and the right to appeal in accordance with </w:t>
      </w:r>
      <w:hyperlink r:id="rId36">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 The member is entitled to have a review of the determination of needs-based eligibility or of the actual disposition score by sending a letter requesting a review to Iowa Medicaid at the department’s address. If dissatisfied with that decision, the member may file an appeal with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3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441.24.pdf" Type="http://schemas.openxmlformats.org/officeDocument/2006/relationships/hyperlink" Id="rId4"/>
    <Relationship TargetMode="External" Target="https://www.legis.iowa.gov/docs/iac/chapter/441.90.pdf" Type="http://schemas.openxmlformats.org/officeDocument/2006/relationships/hyperlink" Id="rId5"/>
    <Relationship TargetMode="External" Target="http://ipsworks.org" Type="http://schemas.openxmlformats.org/officeDocument/2006/relationships/hyperlink" Id="rId6"/>
    <Relationship TargetMode="External" Target="https://www.legis.iowa.gov/docs/iac/rule/441.77.30.pdf" Type="http://schemas.openxmlformats.org/officeDocument/2006/relationships/hyperlink" Id="rId7"/>
    <Relationship TargetMode="External" Target="https://www.legis.iowa.gov/docs/ico/chapter/514B.1.pdf" Type="http://schemas.openxmlformats.org/officeDocument/2006/relationships/hyperlink" Id="rId8"/>
    <Relationship TargetMode="External" Target="https://www.legis.iowa.gov/docs/iac/chapter/441.75.pdf" Type="http://schemas.openxmlformats.org/officeDocument/2006/relationships/hyperlink" Id="rId9"/>
    <Relationship TargetMode="External" Target="https://www.legis.iowa.gov/docs/iac/rule/441.78.27.pdf" Type="http://schemas.openxmlformats.org/officeDocument/2006/relationships/hyperlink" Id="rId10"/>
    <Relationship TargetMode="External" Target="https://www.legis.iowa.gov/docs/iac/rule/441.90.4.pdf" Type="http://schemas.openxmlformats.org/officeDocument/2006/relationships/hyperlink" Id="rId11"/>
    <Relationship TargetMode="External" Target="https://www.legis.iowa.gov/docs/iac/rule/441.78.27.pdf" Type="http://schemas.openxmlformats.org/officeDocument/2006/relationships/hyperlink" Id="rId12"/>
    <Relationship TargetMode="External" Target="https://www.legis.iowa.gov/docs/iac/rule/441.90.4.pdf" Type="http://schemas.openxmlformats.org/officeDocument/2006/relationships/hyperlink" Id="rId13"/>
    <Relationship TargetMode="External" Target="https://www.legis.iowa.gov/docs/iac/rule/441.79.1.pdf" Type="http://schemas.openxmlformats.org/officeDocument/2006/relationships/hyperlink" Id="rId14"/>
    <Relationship TargetMode="External" Target="https://www.legis.iowa.gov/docs/iac/rule/441.79.1.pdf" Type="http://schemas.openxmlformats.org/officeDocument/2006/relationships/hyperlink" Id="rId15"/>
    <Relationship TargetMode="External" Target="https://www.legis.iowa.gov/docs/iac/chapter/441.16.pdf" Type="http://schemas.openxmlformats.org/officeDocument/2006/relationships/hyperlink" Id="rId16"/>
    <Relationship TargetMode="External" Target="https://www.legis.iowa.gov/docs/iac/rule/441.77.30.pdf" Type="http://schemas.openxmlformats.org/officeDocument/2006/relationships/hyperlink" Id="rId17"/>
    <Relationship TargetMode="External" Target="https://www.legis.iowa.gov/docs/iac/rule/441.78.27.pdf" Type="http://schemas.openxmlformats.org/officeDocument/2006/relationships/hyperlink" Id="rId18"/>
    <Relationship TargetMode="External" Target="https://www.legis.iowa.gov/docs/iac/rule/441.79.3.pdf" Type="http://schemas.openxmlformats.org/officeDocument/2006/relationships/hyperlink" Id="rId19"/>
    <Relationship TargetMode="External" Target="https://www.legis.iowa.gov/docs/iac/rule/441.90.4.pdf" Type="http://schemas.openxmlformats.org/officeDocument/2006/relationships/hyperlink" Id="rId20"/>
    <Relationship TargetMode="External" Target="https://www.legis.iowa.gov/docs/iac/rule/441.90.7.pdf" Type="http://schemas.openxmlformats.org/officeDocument/2006/relationships/hyperlink" Id="rId21"/>
    <Relationship TargetMode="External" Target="https://www.legis.iowa.gov/docs/iac/chapter/441.90.pdf" Type="http://schemas.openxmlformats.org/officeDocument/2006/relationships/hyperlink" Id="rId22"/>
    <Relationship TargetMode="External" Target="https://www.legis.iowa.gov/docs/iac/rule/441.77.30.pdf" Type="http://schemas.openxmlformats.org/officeDocument/2006/relationships/hyperlink" Id="rId23"/>
    <Relationship TargetMode="External" Target="https://www.legis.iowa.gov/docs/iac/rule/441.77.30.pdf" Type="http://schemas.openxmlformats.org/officeDocument/2006/relationships/hyperlink" Id="rId24"/>
    <Relationship TargetMode="External" Target="https://www.legis.iowa.gov/docs/iac/rule/441.77.30.pdf" Type="http://schemas.openxmlformats.org/officeDocument/2006/relationships/hyperlink" Id="rId25"/>
    <Relationship TargetMode="External" Target="https://www.legis.iowa.gov/docs/iac/rule/441.78.27.pdf" Type="http://schemas.openxmlformats.org/officeDocument/2006/relationships/hyperlink" Id="rId26"/>
    <Relationship TargetMode="External" Target="https://www.legis.iowa.gov/docs/iac/rule/441.78.27.pdf" Type="http://schemas.openxmlformats.org/officeDocument/2006/relationships/hyperlink" Id="rId27"/>
    <Relationship TargetMode="External" Target="https://www.legis.iowa.gov/docs/iac/rule/441.78.27.pdf" Type="http://schemas.openxmlformats.org/officeDocument/2006/relationships/hyperlink" Id="rId28"/>
    <Relationship TargetMode="External" Target="https://www.legis.iowa.gov/docs/iac/rule/441.78.27.pdf" Type="http://schemas.openxmlformats.org/officeDocument/2006/relationships/hyperlink" Id="rId29"/>
    <Relationship TargetMode="External" Target="https://www.legis.iowa.gov/docs/iac/rule/441.78.27.pdf" Type="http://schemas.openxmlformats.org/officeDocument/2006/relationships/hyperlink" Id="rId30"/>
    <Relationship TargetMode="External" Target="https://www.legis.iowa.gov/docs/iac/rule/441.78.27.pdf" Type="http://schemas.openxmlformats.org/officeDocument/2006/relationships/hyperlink" Id="rId31"/>
    <Relationship TargetMode="External" Target="https://www.legis.iowa.gov/docs/iac/rule/441.79.1.pdf" Type="http://schemas.openxmlformats.org/officeDocument/2006/relationships/hyperlink" Id="rId32"/>
    <Relationship TargetMode="External" Target="https://www.legis.iowa.gov/docs/iac/rule/441.79.1.pdf" Type="http://schemas.openxmlformats.org/officeDocument/2006/relationships/hyperlink" Id="rId33"/>
    <Relationship TargetMode="External" Target="https://www.legis.iowa.gov/docs/iac/chapter/441.16.pdf" Type="http://schemas.openxmlformats.org/officeDocument/2006/relationships/hyperlink" Id="rId34"/>
    <Relationship TargetMode="External" Target="https://www.legis.iowa.gov/docs/iac/chapter/441.16.pdf" Type="http://schemas.openxmlformats.org/officeDocument/2006/relationships/hyperlink" Id="rId35"/>
    <Relationship TargetMode="External" Target="https://www.legis.iowa.gov/docs/iac/chapter/441.2506.pdf" Type="http://schemas.openxmlformats.org/officeDocument/2006/relationships/hyperlink" Id="rId36"/>
    <Relationship Target="footer.xml" Type="http://schemas.openxmlformats.org/officeDocument/2006/relationships/footer" Id="rId37"/>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