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441—78.25</w:t>
      </w:r>
      <w:r>
        <w:rPr>
          <w:rFonts w:ascii="Times New Roman" w:hAnsi="Times New Roman"/>
          <w:b/>
          <w:i w:val="false"/>
          <w:color w:val="000000"/>
          <w:sz w:val="22"/>
        </w:rPr>
        <w:t xml:space="preserve">(249A) </w:t>
      </w:r>
      <w:r>
        <w:rPr>
          <w:rFonts w:ascii="Times New Roman" w:hAnsi="Times New Roman"/>
          <w:b/>
          <w:i w:val="false"/>
          <w:color w:val="000000"/>
          <w:sz w:val="22"/>
        </w:rPr>
        <w:t xml:space="preserve">Maternal health centers. </w:t>
      </w:r>
      <w:r>
        <w:rPr>
          <w:rFonts w:ascii="Times New Roman" w:hAnsi="Times New Roman"/>
          <w:b w:val="false"/>
          <w:i w:val="false"/>
          <w:color w:val="000000"/>
          <w:sz w:val="22"/>
        </w:rPr>
        <w:t xml:space="preserve">Payment will be made for prenatal and postpartum medical care, health education, and transportation to receive prenatal and postpartum services. Payment will be made for enhanced perinatal services for persons determined high risk. These services include additional health education services, nutrition counseling, social services, and one postpartum home visit. Maternal health centers shall provide trimester and postpartum reports to the referring physician. Risk assessment using a Medicaid Prenatal Risk Assessment form shall be completed at the initial visit during a Medicaid member’s pregnancy. If the risk assessment reflects a low-risk pregnancy, the assessment shall be completed again at approximately the twenty-eighth week of pregnancy. If the risk assessment reflects a high-risk pregnancy, referral shall be made for enhanced services described in subrule </w:t>
      </w:r>
      <w:hyperlink r:id="rId4">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78.25(1)</w:t>
      </w:r>
      <w:r>
        <w:rPr>
          <w:rFonts w:ascii="Times New Roman" w:hAnsi="Times New Roman"/>
          <w:b w:val="false"/>
          <w:i w:val="false"/>
          <w:color w:val="000000"/>
          <w:sz w:val="22"/>
        </w:rPr>
        <w:t> </w:t>
      </w:r>
      <w:r>
        <w:rPr>
          <w:rFonts w:ascii="Times New Roman" w:hAnsi="Times New Roman"/>
          <w:b w:val="false"/>
          <w:i/>
          <w:color w:val="000000"/>
          <w:sz w:val="22"/>
        </w:rPr>
        <w:t xml:space="preserve">Provider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Prenatal and postpartum medical services shall be provided by a physician, a PA, or a nurse practitioner employed by or on contract with the center. Medical services performed by maternal health centers shall be performed under the supervision of a physician. Nurse practitioners and PAs performing under the supervision of a physician must do so within the scope of practice of that profession, as defined by Iowa Code chapters </w:t>
      </w:r>
      <w:hyperlink r:id="rId5">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Education services and postpartum home visits shall be provided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Nutrition services shall be provided by a licensed dietitian.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Psychosocial services shall be provided by a person with at least a bachelor’s degree in social work, counseling, sociology, psychology, family and community services, health or human development, health education, or individual and family studies.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78.25(2)</w:t>
      </w:r>
      <w:r>
        <w:rPr>
          <w:rFonts w:ascii="Times New Roman" w:hAnsi="Times New Roman"/>
          <w:b w:val="false"/>
          <w:i w:val="false"/>
          <w:color w:val="000000"/>
          <w:sz w:val="22"/>
        </w:rPr>
        <w:t> </w:t>
      </w:r>
      <w:r>
        <w:rPr>
          <w:rFonts w:ascii="Times New Roman" w:hAnsi="Times New Roman"/>
          <w:b w:val="false"/>
          <w:i/>
          <w:color w:val="000000"/>
          <w:sz w:val="22"/>
        </w:rPr>
        <w:t xml:space="preserve">Services covered for all pregnant women. </w:t>
      </w:r>
      <w:r>
        <w:rPr>
          <w:rFonts w:ascii="Times New Roman" w:hAnsi="Times New Roman"/>
          <w:b w:val="false"/>
          <w:i w:val="false"/>
          <w:color w:val="000000"/>
          <w:sz w:val="22"/>
        </w:rPr>
        <w:t>Services provided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Prenatal and postpartum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Health education, which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Importance of continued prenatal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Normal changes of pregnancy including both maternal changes and fetal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Self-care during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Comfort measures during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Danger signs during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Labor and delivery including the normal process of labor, signs of labor, coping skills, danger signs, and management of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Preparation for baby including feeding, equipment, and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Education on the use of over-the-counter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Education about HIV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Home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to receive prenatal and postpartum services that is not payable under rule </w:t>
      </w:r>
      <w:hyperlink r:id="rId7">
        <w:r>
          <w:rPr>
            <w:rStyle w:val="Hyperlink"/>
            <w:rFonts w:ascii="Times New Roman" w:hAnsi="Times New Roman"/>
            <w:b w:val="false"/>
            <w:i w:val="false"/>
            <w:color w:val="000000"/>
            <w:sz w:val="22"/>
          </w:rPr>
          <w:t>441—78.11</w:t>
        </w:r>
      </w:hyperlink>
      <w:r>
        <w:rPr>
          <w:rFonts w:ascii="Times New Roman" w:hAnsi="Times New Roman"/>
          <w:b w:val="false"/>
          <w:i w:val="false"/>
          <w:color w:val="000000"/>
          <w:sz w:val="22"/>
        </w:rPr>
        <w:t xml:space="preserve">(249A) or </w:t>
      </w:r>
      <w:hyperlink r:id="rId8">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Dental hygiene services within the scope of practice as defined by the dental board in </w:t>
      </w:r>
      <w:hyperlink r:id="rId9">
        <w:r>
          <w:rPr>
            <w:rStyle w:val="Hyperlink"/>
            <w:rFonts w:ascii="Times New Roman" w:hAnsi="Times New Roman"/>
            <w:b w:val="false"/>
            <w:i w:val="false"/>
            <w:color w:val="000000"/>
            <w:sz w:val="22"/>
          </w:rPr>
          <w:t>481—Chapter 576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78.25(3)</w:t>
      </w:r>
      <w:r>
        <w:rPr>
          <w:rFonts w:ascii="Times New Roman" w:hAnsi="Times New Roman"/>
          <w:b w:val="false"/>
          <w:i w:val="false"/>
          <w:color w:val="000000"/>
          <w:sz w:val="22"/>
        </w:rPr>
        <w:t> </w:t>
      </w:r>
      <w:r>
        <w:rPr>
          <w:rFonts w:ascii="Times New Roman" w:hAnsi="Times New Roman"/>
          <w:b w:val="false"/>
          <w:i/>
          <w:color w:val="000000"/>
          <w:sz w:val="22"/>
        </w:rPr>
        <w:t xml:space="preserve">Enhanced services covered for women with high-risk pregnancies. </w:t>
      </w:r>
      <w:r>
        <w:rPr>
          <w:rFonts w:ascii="Times New Roman" w:hAnsi="Times New Roman"/>
          <w:b w:val="false"/>
          <w:i w:val="false"/>
          <w:color w:val="000000"/>
          <w:sz w:val="22"/>
        </w:rPr>
        <w:t>Enhanced perinatal services may be provided to a patient who has been determined to have a high-risk pregnancy as documented on the Medicaid Prenatal Risk Assessment form. An appropriately trained physician or ARNP must be involved in staffing the patients receiving enhanced services.</w:t>
      </w:r>
    </w:p>
    <w:p>
      <w:pPr>
        <w:spacing w:before="0" w:after="0"/>
        <w:ind w:left="120"/>
        <w:jc w:val="both"/>
      </w:pPr>
      <w:r>
        <w:rPr>
          <w:rFonts w:ascii="Times New Roman" w:hAnsi="Times New Roman"/>
          <w:b w:val="false"/>
          <w:i w:val="false"/>
          <w:color w:val="000000"/>
          <w:sz w:val="22"/>
        </w:rPr>
        <w:t>Enhanced services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Education, which shall include as appropriate education about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High-risk medical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High-risk sexual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Smoking cessation.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Alcohol usage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Drug usage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Environmental and occupational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Nutrition assessment and counseling,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Initial assessment of nutritional risk based on height, current and prepregnancy weight status, laboratory data, clinical data, and self-reported dietary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Ongoing nutritional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Development of an individualized nutritional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Referral to food assistance programs if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Nutritional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Psychosocial assessment and counseling,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psychosocial assessment including: needs assessment, profile of client demographic factors, mental and physical health history and concerns, adjustment to pregnancy and future parenting, and environmental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profile of the client’s family composition, patterns of functioning and support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assessment-based plan of care, risk tracking, counseling and anticipatory guidance as appropriate, and referral and follow-up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postpartum home visit within two weeks of the child’s discharge from the hospital,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Assessment of mother’s health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Physical and emotional changes postpartum.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Family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Parenting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Assessment of infant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Infant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Grief support for unhealthy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Parenting of a preterm infant.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Identification of and referral to community resources as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78.25(4)</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VFC program, a maternal health center must enroll in the VFC program. Payment for the vaccine will be approved only if the VFC program stock has been depleted.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8.25.pdf" Type="http://schemas.openxmlformats.org/officeDocument/2006/relationships/hyperlink" Id="rId4"/>
    <Relationship TargetMode="External" Target="https://www.legis.iowa.gov/docs/ico/chapter/152.pdf" Type="http://schemas.openxmlformats.org/officeDocument/2006/relationships/hyperlink" Id="rId5"/>
    <Relationship TargetMode="External" Target="https://www.legis.iowa.gov/docs/ico/chapter/148C.pdf" Type="http://schemas.openxmlformats.org/officeDocument/2006/relationships/hyperlink" Id="rId6"/>
    <Relationship TargetMode="External" Target="https://www.legis.iowa.gov/docs/iac/rule/441.78.11.pdf" Type="http://schemas.openxmlformats.org/officeDocument/2006/relationships/hyperlink" Id="rId7"/>
    <Relationship TargetMode="External" Target="https://www.legis.iowa.gov/docs/iac/rule/441.78.13.pdf" Type="http://schemas.openxmlformats.org/officeDocument/2006/relationships/hyperlink" Id="rId8"/>
    <Relationship TargetMode="External" Target="https://www.legis.iowa.gov/docs/iac/chapter/481.576.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