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4">
        <w:r>
          <w:rPr>
            <w:rStyle w:val="Hyperlink"/>
            <w:rFonts w:ascii="Times New Roman" w:hAnsi="Times New Roman"/>
            <w:b w:val="false"/>
            <w:i w:val="false"/>
            <w:color w:val="000000"/>
            <w:sz w:val="22"/>
          </w:rPr>
          <w:t>78.16(1)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by staff psychiatrists,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rendered by psychologists meeting the requirements of the National Register of Health Service Providers in Psychology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staff member listed in this subrule performing the preliminary diagnostic evaluation of a member for voluntary admission to one of the state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Supervisory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patient shall have an initial evaluation completed that shall include at least one personal evaluation interview with a mental health professional, as defined under Iowa Code section </w:t>
      </w:r>
      <w:hyperlink r:id="rId5">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2"/>
        </w:rPr>
        <w:t>2002 Iowa Acts, chapter 1120, section 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plans for and services rendered to patients of the center shall be evaluated and revised as necessary and appropriate, consistent with the standards of the peer review process described in subparagraph </w:t>
      </w:r>
      <w:hyperlink r:id="rId6">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 process and related activities, as described under subparagraph </w:t>
      </w:r>
      <w:hyperlink r:id="rId7">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are not payable as separate services under the Medicaid program. The center shall maintain the results of and information related to the peer review process, and these records shall be subject to audit by the department or its designees,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val="false"/>
          <w:color w:val="000000"/>
          <w:sz w:val="22"/>
        </w:rPr>
        <w:t>Clinical records of medical assistance patients shall be available to the carrier on request. All these records shall be held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 providing day treatment services for persons aged 21 or over shall have available a written narrative providing the following day treatment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21 and over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21 and over that meet the day treatment program guidelines noted in </w:t>
      </w:r>
      <w:hyperlink r:id="rId8">
        <w:r>
          <w:rPr>
            <w:rStyle w:val="Hyperlink"/>
            <w:rFonts w:ascii="Times New Roman" w:hAnsi="Times New Roman"/>
            <w:b w:val="false"/>
            <w:i w:val="false"/>
            <w:color w:val="000000"/>
            <w:sz w:val="22"/>
          </w:rPr>
          <w:t>78.16(6)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 treatment services for persons aged 21 and over shall be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day treatment services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member care. The supervision shall be timely, regular, and documented. The employee or consultant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 related field from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Iowa license to practice as a registered nurse with two years of experience in the delivery of nursing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aged 18 through 20 with chronic mental illness as defined by rule </w:t>
      </w:r>
      <w:hyperlink r:id="rId9">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(225A) can receive day treatment services under this subrule or subrule </w:t>
      </w:r>
      <w:hyperlink r:id="rId10">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ind w:left="120"/>
        <w:jc w:val="both"/>
      </w:pPr>
      <w:r>
        <w:rPr>
          <w:rFonts w:ascii="Times New Roman" w:hAnsi="Times New Roman"/>
          <w:b w:val="false"/>
          <w:i w:val="false"/>
          <w:color w:val="000000"/>
          <w:sz w:val="22"/>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1">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r>
        <w:rPr>
          <w:rFonts w:ascii="Times New Roman" w:hAnsi="Times New Roman"/>
          <w:b w:val="false"/>
          <w:i w:val="false"/>
          <w:color w:val="000000"/>
          <w:sz w:val="22"/>
        </w:rPr>
        <w:t>Community mental health centers providing day treatment services for persons aged 20 or under shall have available a written narrative that provides the following day treatment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20 or under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20 or under that meet the guidelines noted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standards. </w:t>
      </w:r>
      <w:r>
        <w:rPr>
          <w:rFonts w:ascii="Times New Roman" w:hAnsi="Times New Roman"/>
          <w:b w:val="false"/>
          <w:i w:val="false"/>
          <w:color w:val="000000"/>
          <w:sz w:val="22"/>
        </w:rPr>
        <w:t>Medicaid day treatment program services for persons aged 20 and under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2">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Reflect how program continuity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Reflect an interdisciplinary team of professionals and paraprofessionals.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designated director who is a mental health professional as defined in rule </w:t>
      </w:r>
      <w:hyperlink r:id="rId13">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The director shall be responsible for direct supervision of the individual treatment plans for participants and the ongoing assessment of program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member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hours of operation available for a minimum of three consecutive hours per day, three days or evenings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accessing emergency services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and psychosocial rehabilitation services shall be available. A description of the services shall accompany the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ind w:left="120"/>
        <w:jc w:val="both"/>
      </w:pPr>
      <w:r>
        <w:rPr>
          <w:rFonts w:ascii="Times New Roman" w:hAnsi="Times New Roman"/>
          <w:b w:val="false"/>
          <w:i w:val="false"/>
          <w:color w:val="000000"/>
          <w:sz w:val="22"/>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ind w:left="120"/>
        <w:jc w:val="both"/>
      </w:pPr>
      <w:r>
        <w:rPr>
          <w:rFonts w:ascii="Times New Roman" w:hAnsi="Times New Roman"/>
          <w:b w:val="false"/>
          <w:i w:val="false"/>
          <w:color w:val="000000"/>
          <w:sz w:val="22"/>
        </w:rPr>
        <w:t>Day treatment programs shall use an integrated, comprehensive and complementary schedule of therapeutic activities and shall have the capacity to treat a wide array of clinical conditions.</w:t>
      </w:r>
    </w:p>
    <w:p>
      <w:pPr>
        <w:spacing w:before="0" w:after="0"/>
        <w:ind w:left="120"/>
        <w:jc w:val="both"/>
      </w:pPr>
      <w:r>
        <w:rPr>
          <w:rFonts w:ascii="Times New Roman" w:hAnsi="Times New Roman"/>
          <w:b w:val="false"/>
          <w:i w:val="false"/>
          <w:color w:val="000000"/>
          <w:sz w:val="22"/>
        </w:rPr>
        <w:t>The following services shall be available as components of the day treatment program. These services are not separately billable to Medicaid, as day treatment reimbursement includes reimbursement for all day treatment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including individual, group,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ind w:left="120"/>
        <w:jc w:val="both"/>
      </w:pPr>
      <w:r>
        <w:rPr>
          <w:rFonts w:ascii="Times New Roman" w:hAnsi="Times New Roman"/>
          <w:b w:val="false"/>
          <w:i w:val="false"/>
          <w:color w:val="000000"/>
          <w:sz w:val="22"/>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services. All day treatment patients will receive a formal, comprehensive biopsychosocial assessment of day treatment needs including, if applicable, a diagnostic impression based on the Diagnostic and Statistical Manual of Mental Disorders as amended to July 1, 2026. An assessment from another source performed within the previous 12 months may be used if the symptomatology is the same as 12 months ago. If not, parts of the assessment that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Admission criteria. </w:t>
      </w:r>
      <w:r>
        <w:rPr>
          <w:rFonts w:ascii="Times New Roman" w:hAnsi="Times New Roman"/>
          <w:b w:val="false"/>
          <w:i w:val="false"/>
          <w:color w:val="000000"/>
          <w:sz w:val="22"/>
        </w:rPr>
        <w:t>Admission criteria for day treatment services for persons aged 20 or under shall reflect the following clinical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is at risk for exclusion from normative community activities or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is provided that the traditional outpatient setting has been considered and has been determined not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patient has the capacity to benefit from the interventions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treatment plan. </w:t>
      </w:r>
      <w:r>
        <w:rPr>
          <w:rFonts w:ascii="Times New Roman" w:hAnsi="Times New Roman"/>
          <w:b w:val="false"/>
          <w:i w:val="false"/>
          <w:color w:val="000000"/>
          <w:sz w:val="22"/>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that are general statements of member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on the “National Register of Health Service Providers in Psychology” as amended to July 1, 2026. Approval will be evidenced by a signature of the physician or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w:t>
      </w:r>
      <w:r>
        <w:rPr>
          <w:rFonts w:ascii="Times New Roman" w:hAnsi="Times New Roman"/>
          <w:b w:val="false"/>
          <w:i w:val="false"/>
          <w:color w:val="000000"/>
          <w:sz w:val="22"/>
        </w:rPr>
        <w:t>Discharge criteria for the day treatment program for persons aged 20 or under shall incorporate at least the following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patient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goals in the individualized treatment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aftercare plan has been developed that is appropriate to the patient’s needs and agreed to by the patient and family, custodian,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patient does not improve: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clinical condition has deteriorated to the extent that the safety and security of inpatient or residential care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family, or custodian noncompliance with treatment or with program rules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Therapeutic activities will be scheduled according to the needs of the patients, both individually and as a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Scheduled therapeutic activities, which may include other program components as described above, shall be provided at least 3 hours per week up to a maximum of 15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Stable milieu. </w:t>
      </w:r>
      <w:r>
        <w:rPr>
          <w:rFonts w:ascii="Times New Roman" w:hAnsi="Times New Roman"/>
          <w:b w:val="false"/>
          <w:i w:val="false"/>
          <w:color w:val="000000"/>
          <w:sz w:val="22"/>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 xml:space="preserve">Persons aged 18 through 20 with chronic mental illness as defined by rule </w:t>
      </w:r>
      <w:hyperlink r:id="rId1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(225A) can receive day treatment services under this subrule or subrule </w:t>
      </w:r>
      <w:hyperlink r:id="rId15">
        <w:r>
          <w:rPr>
            <w:rStyle w:val="Hyperlink"/>
            <w:rFonts w:ascii="Times New Roman" w:hAnsi="Times New Roman"/>
            <w:b w:val="false"/>
            <w:i w:val="false"/>
            <w:color w:val="000000"/>
            <w:sz w:val="22"/>
          </w:rPr>
          <w:t>78.16(6)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6.pdf" Type="http://schemas.openxmlformats.org/officeDocument/2006/relationships/hyperlink" Id="rId4"/>
    <Relationship TargetMode="External" Target="https://www.legis.iowa.gov/docs/ico/chapter/228.1.pdf" Type="http://schemas.openxmlformats.org/officeDocument/2006/relationships/hyperlink" Id="rId5"/>
    <Relationship TargetMode="External" Target="https://www.legis.iowa.gov/docs/iac/rule/441.78.16.pdf" Type="http://schemas.openxmlformats.org/officeDocument/2006/relationships/hyperlink" Id="rId6"/>
    <Relationship TargetMode="External" Target="https://www.legis.iowa.gov/docs/iac/rule/441.78.16.pdf" Type="http://schemas.openxmlformats.org/officeDocument/2006/relationships/hyperlink" Id="rId7"/>
    <Relationship TargetMode="External" Target="https://www.legis.iowa.gov/docs/iac/rule/441.78.16.pdf" Type="http://schemas.openxmlformats.org/officeDocument/2006/relationships/hyperlink" Id="rId8"/>
    <Relationship TargetMode="External" Target="https://www.legis.iowa.gov/docs/iac/rule/441.24.1.pdf" Type="http://schemas.openxmlformats.org/officeDocument/2006/relationships/hyperlink" Id="rId9"/>
    <Relationship TargetMode="External" Target="https://www.legis.iowa.gov/docs/iac/rule/441.78.16.pdf" Type="http://schemas.openxmlformats.org/officeDocument/2006/relationships/hyperlink" Id="rId10"/>
    <Relationship TargetMode="External" Target="https://www.legis.iowa.gov/docs/iac/chapter/441.114.pdf" Type="http://schemas.openxmlformats.org/officeDocument/2006/relationships/hyperlink" Id="rId11"/>
    <Relationship TargetMode="External" Target="https://www.legis.iowa.gov/docs/iac/rule/441.24.1.pdf" Type="http://schemas.openxmlformats.org/officeDocument/2006/relationships/hyperlink" Id="rId12"/>
    <Relationship TargetMode="External" Target="https://www.legis.iowa.gov/docs/iac/rule/441.24.1.pdf" Type="http://schemas.openxmlformats.org/officeDocument/2006/relationships/hyperlink" Id="rId13"/>
    <Relationship TargetMode="External" Target="https://www.legis.iowa.gov/docs/iac/rule/441.24.1.pdf" Type="http://schemas.openxmlformats.org/officeDocument/2006/relationships/hyperlink" Id="rId14"/>
    <Relationship TargetMode="External" Target="https://www.legis.iowa.gov/docs/iac/rule/441.78.16.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