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441—78.11</w:t>
      </w:r>
      <w:r>
        <w:rPr>
          <w:rFonts w:ascii="Times New Roman" w:hAnsi="Times New Roman"/>
          <w:b/>
          <w:i w:val="false"/>
          <w:color w:val="000000"/>
          <w:sz w:val="22"/>
        </w:rPr>
        <w:t xml:space="preserve">(249A) </w:t>
      </w:r>
      <w:r>
        <w:rPr>
          <w:rFonts w:ascii="Times New Roman" w:hAnsi="Times New Roman"/>
          <w:b/>
          <w:i w:val="false"/>
          <w:color w:val="000000"/>
          <w:sz w:val="22"/>
        </w:rPr>
        <w:t xml:space="preserve">Ambulance service. </w:t>
      </w:r>
      <w:r>
        <w:rPr>
          <w:rFonts w:ascii="Times New Roman" w:hAnsi="Times New Roman"/>
          <w:b w:val="false"/>
          <w:i w:val="false"/>
          <w:color w:val="000000"/>
          <w:sz w:val="22"/>
        </w:rPr>
        <w:t>Payment will be approved for ambulance service if it is required by the recipient’s condition and the recipient is transported to the nearest hospital with appropriate facilities or to one in the same locality, from one hospital to another, to the patient’s home, to a nursing facility, or to a mental health access center. Payment for ambulance service to the nearest hospital for outpatient service will be approved only for emergency treatment. Ambulance service must be medically necessary and not merely for the convenience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78.11(1)</w:t>
      </w:r>
      <w:r>
        <w:rPr>
          <w:rFonts w:ascii="Times New Roman" w:hAnsi="Times New Roman"/>
          <w:b w:val="false"/>
          <w:i w:val="false"/>
          <w:color w:val="000000"/>
          <w:sz w:val="22"/>
        </w:rPr>
        <w:t> </w:t>
      </w:r>
      <w:r>
        <w:rPr>
          <w:rFonts w:ascii="Times New Roman" w:hAnsi="Times New Roman"/>
          <w:b w:val="false"/>
          <w:i w:val="false"/>
          <w:color w:val="000000"/>
          <w:sz w:val="22"/>
        </w:rPr>
        <w:t>Partial payment may be made when an individual is transported beyond the destinations specified, and is limited to the amount that would have been paid had the individual been transported to the nearest institution with appropriate facilities. When transportation is to the patient’s home, partial payment is limited to the amount that would have been paid from the nearest institution with appropriate facilities. When a recipient who is a resident of a nursing care facility is hospitalized and later discharged from the hospital, payment will be made for the trip to the nursing care facility where the recipient resides even though it may not in fact be the nearest nursing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78.11(2)</w:t>
      </w:r>
      <w:r>
        <w:rPr>
          <w:rFonts w:ascii="Times New Roman" w:hAnsi="Times New Roman"/>
          <w:b w:val="false"/>
          <w:i w:val="false"/>
          <w:color w:val="000000"/>
          <w:sz w:val="22"/>
        </w:rPr>
        <w:t> </w:t>
      </w:r>
      <w:r>
        <w:rPr>
          <w:rFonts w:ascii="Times New Roman" w:hAnsi="Times New Roman"/>
          <w:b w:val="false"/>
          <w:i w:val="false"/>
          <w:color w:val="000000"/>
          <w:sz w:val="22"/>
        </w:rPr>
        <w:t>Iowa Medicaid will determine that the ambulance transportation was medically necessary and that the condition of the patient precluded any other method of transportation. Payment can be made without the physician’s confirmation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individual is admitted as a hospital inpatient or is in an emergency situation.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Previous information on file relating to the patient’s condition clearly indicates ambulance service was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78.11(3)</w:t>
      </w:r>
      <w:r>
        <w:rPr>
          <w:rFonts w:ascii="Times New Roman" w:hAnsi="Times New Roman"/>
          <w:b w:val="false"/>
          <w:i w:val="false"/>
          <w:color w:val="000000"/>
          <w:sz w:val="22"/>
        </w:rPr>
        <w:t> </w:t>
      </w:r>
      <w:r>
        <w:rPr>
          <w:rFonts w:ascii="Times New Roman" w:hAnsi="Times New Roman"/>
          <w:b w:val="false"/>
          <w:i w:val="false"/>
          <w:color w:val="000000"/>
          <w:sz w:val="22"/>
        </w:rPr>
        <w:t>When a patient is transferred from one nursing home to another because of the closing of a facility or from a nursing home to a custodial home because the recipient no longer requires nursing care, the conditions of medical necessity and the distance requirements will not be applicable. Approval for transfer will be made by the department prior to the transfer. When such a transfer is made, the following rate schedule will apply:</w:t>
      </w:r>
    </w:p>
    <w:p>
      <w:pPr>
        <w:spacing w:before="0" w:after="0"/>
        <w:ind w:left="120"/>
        <w:jc w:val="both"/>
      </w:pPr>
      <w:r>
        <w:rPr>
          <w:rFonts w:ascii="Times New Roman" w:hAnsi="Times New Roman"/>
          <w:b w:val="false"/>
          <w:i w:val="false"/>
          <w:color w:val="000000"/>
          <w:sz w:val="22"/>
        </w:rPr>
        <w:t>One patient - normal allowance</w:t>
      </w:r>
    </w:p>
    <w:p>
      <w:pPr>
        <w:spacing w:before="0" w:after="0"/>
        <w:ind w:left="120"/>
        <w:jc w:val="both"/>
      </w:pPr>
      <w:r>
        <w:rPr>
          <w:rFonts w:ascii="Times New Roman" w:hAnsi="Times New Roman"/>
          <w:b w:val="false"/>
          <w:i w:val="false"/>
          <w:color w:val="000000"/>
          <w:sz w:val="22"/>
        </w:rPr>
        <w:t>Two patients - 3/4 normal allowance per patient</w:t>
      </w:r>
    </w:p>
    <w:p>
      <w:pPr>
        <w:spacing w:before="0" w:after="0"/>
        <w:ind w:left="120"/>
        <w:jc w:val="both"/>
      </w:pPr>
      <w:r>
        <w:rPr>
          <w:rFonts w:ascii="Times New Roman" w:hAnsi="Times New Roman"/>
          <w:b w:val="false"/>
          <w:i w:val="false"/>
          <w:color w:val="000000"/>
          <w:sz w:val="22"/>
        </w:rPr>
        <w:t>Three patients - 2/3 normal allowance per patient</w:t>
      </w:r>
    </w:p>
    <w:p>
      <w:pPr>
        <w:spacing w:before="0" w:after="0"/>
        <w:ind w:left="120"/>
        <w:jc w:val="both"/>
      </w:pPr>
      <w:r>
        <w:rPr>
          <w:rFonts w:ascii="Times New Roman" w:hAnsi="Times New Roman"/>
          <w:b w:val="false"/>
          <w:i w:val="false"/>
          <w:color w:val="000000"/>
          <w:sz w:val="22"/>
        </w:rPr>
        <w:t>Four patients - 5/8 normal allowance per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78.11(4)</w:t>
      </w:r>
      <w:r>
        <w:rPr>
          <w:rFonts w:ascii="Times New Roman" w:hAnsi="Times New Roman"/>
          <w:b w:val="false"/>
          <w:i w:val="false"/>
          <w:color w:val="000000"/>
          <w:sz w:val="22"/>
        </w:rPr>
        <w:t> </w:t>
      </w:r>
      <w:r>
        <w:rPr>
          <w:rFonts w:ascii="Times New Roman" w:hAnsi="Times New Roman"/>
          <w:b w:val="false"/>
          <w:i w:val="false"/>
          <w:color w:val="000000"/>
          <w:sz w:val="22"/>
        </w:rPr>
        <w:t xml:space="preserve">Transportation of hospital inpatients. When an ambulance service provides transport of a hospital inpatient to a provider and returns the recipient to the same hospital (the recipient continuing to be an inpatient of the hospital), the ambulance service shall bill the hospital for reimbursement as the hospital’s DRG reimbursement system includes all costs associated with providing inpatient services as stated in </w:t>
      </w:r>
      <w:hyperlink r:id="rId4">
        <w:r>
          <w:rPr>
            <w:rStyle w:val="Hyperlink"/>
            <w:rFonts w:ascii="Times New Roman" w:hAnsi="Times New Roman"/>
            <w:b w:val="false"/>
            <w:i w:val="false"/>
            <w:color w:val="000000"/>
            <w:sz w:val="22"/>
          </w:rPr>
          <w:t>441—paragraph 79.1(5)</w:t>
        </w:r>
        <w:r>
          <w:rPr>
            <w:rFonts w:ascii="Times New Roman" w:hAnsi="Times New Roman"/>
            <w:b w:val="false"/>
            <w:i/>
            <w:color w:val="000000"/>
            <w:sz w:val="22"/>
          </w:rPr>
          <w:t>“j.”</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78.11(5)</w:t>
      </w:r>
      <w:r>
        <w:rPr>
          <w:rFonts w:ascii="Times New Roman" w:hAnsi="Times New Roman"/>
          <w:b w:val="false"/>
          <w:i w:val="false"/>
          <w:color w:val="000000"/>
          <w:sz w:val="22"/>
        </w:rPr>
        <w:t> </w:t>
      </w:r>
      <w:r>
        <w:rPr>
          <w:rFonts w:ascii="Times New Roman" w:hAnsi="Times New Roman"/>
          <w:b w:val="false"/>
          <w:i w:val="false"/>
          <w:color w:val="000000"/>
          <w:sz w:val="22"/>
        </w:rPr>
        <w:t>In the event that more than one ambulance service is called to provide ground ambulance transport, payment will be made only to one ambulance company. When a paramedic from one ambulance service joins a ground ambulance company already in transport, coverage is not available for the services and supplies provided by the paramedic.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79.1.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