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441—78.10</w:t>
      </w:r>
      <w:r>
        <w:rPr>
          <w:rFonts w:ascii="Times New Roman" w:hAnsi="Times New Roman"/>
          <w:b/>
          <w:i w:val="false"/>
          <w:color w:val="000000"/>
          <w:sz w:val="22"/>
        </w:rPr>
        <w:t xml:space="preserve">(249A) </w:t>
      </w:r>
      <w:r>
        <w:rPr>
          <w:rFonts w:ascii="Times New Roman" w:hAnsi="Times New Roman"/>
          <w:b/>
          <w:i w:val="false"/>
          <w:color w:val="000000"/>
          <w:sz w:val="22"/>
        </w:rPr>
        <w:t xml:space="preserve">Durable medical equipment (DME), prosthetic devices and medical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color w:val="000000"/>
          <w:sz w:val="22"/>
        </w:rPr>
        <w:t xml:space="preserve">General payment requirements. </w:t>
      </w:r>
      <w:r>
        <w:rPr>
          <w:rFonts w:ascii="Times New Roman" w:hAnsi="Times New Roman"/>
          <w:b w:val="false"/>
          <w:i w:val="false"/>
          <w:color w:val="000000"/>
          <w:sz w:val="22"/>
        </w:rPr>
        <w:t xml:space="preserve">Payment will be made for items of DME, prosthetic devices and medical supplies, subject to the following general requirements and the requirements of subrule </w:t>
      </w:r>
      <w:hyperlink r:id="rId4">
        <w:r>
          <w:rPr>
            <w:rStyle w:val="Hyperlink"/>
            <w:rFonts w:ascii="Times New Roman" w:hAnsi="Times New Roman"/>
            <w:b w:val="false"/>
            <w:i w:val="false"/>
            <w:color w:val="000000"/>
            <w:sz w:val="22"/>
          </w:rPr>
          <w:t>78.10(2)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78.10(3)</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78.10(4)</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prosthetic devices, and medical supplies must be required by the member because of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shall be necessary and reasonable either for the treatment of an illness or injury, or to improve the functioning of a malformed body part. Determination will be made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item is necessary when it can be expected to make a meaningful contribution to the treatment of a specific illness or injury or to the improvement in function of a malformed body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physician’s (doctor of medicine, osteopathy, or podiatry), PA’s, or ARNP’s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ind w:left="120"/>
        <w:jc w:val="both"/>
      </w:pPr>
      <w:r>
        <w:rPr>
          <w:rFonts w:ascii="Times New Roman" w:hAnsi="Times New Roman"/>
          <w:b w:val="false"/>
          <w:i w:val="false"/>
          <w:color w:val="000000"/>
          <w:sz w:val="22"/>
        </w:rPr>
        <w:t xml:space="preserve">For items requiring prior authorization, a request shall include a physician’s, PA’s, or ARNP’s written order or prescription and sufficient medical documentation to permit an independent conclusion that the requirements for the equipment or device are met and the item is medically necessary and reasonable. A request for prior authorization is made using an Outpatient Prior Authorization Request form. See rule </w:t>
      </w:r>
      <w:hyperlink r:id="rId7">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Nonmedical items will not be covered. These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e.g., an exercycle,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First-aid or precautionary-type equipment, e.g., preset portable oxygen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Self-help devices, e.g., safety grab bars, raised toilet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equipment, e.g., speech teaching machines, braille training 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used for environmental control or to enhance the environmental setting, e.g., room heaters, air conditioners, humidifiers, dehumidifiers, and electric air cleaners.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that basically serves comfort or convenience functions or is primarily for the convenience of a person caring for the member, e.g., elevators, stairway elevators and posture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payable is based on the least expensive item that meets the member’s medical needs. Payment will not be approved for items that serve duplicate functions. </w:t>
      </w:r>
      <w:r>
        <w:rPr>
          <w:rFonts w:ascii="Times New Roman" w:hAnsi="Times New Roman"/>
          <w:b w:val="false"/>
          <w:i w:val="false"/>
          <w:color w:val="000000"/>
          <w:sz w:val="22"/>
        </w:rPr>
        <w:t>EXCEPTION</w:t>
      </w:r>
      <w:r>
        <w:rPr>
          <w:rFonts w:ascii="Times New Roman" w:hAnsi="Times New Roman"/>
          <w:b w:val="false"/>
          <w:i w:val="false"/>
          <w:color w:val="000000"/>
          <w:sz w:val="22"/>
        </w:rPr>
        <w:t>: A second ventilator, with approved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rental or purchase based on the price of the item and the length of time it would be required. The decision on rental or purchase will be made by Iowa Medicaid and be based on the most reasonable method to provide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rental payments will be applied to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 Ventilators and oxygen systems shall be maintained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deposit shall not be charged by a provider to a Medicaid member or any other person on behalf of a Medicaid member for rental of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necessary repair, maintenance, and supplies for member-owned equipment. No payment may be made for repairs, maintenance, or supplies when the member is renting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Replacement of member-owned equipment is covered in cases of loss or irreparable damage or when required because of a change in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DME, prosthetic devices or 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fee schedule amount is allowed when prior authorization has been obtained. See </w:t>
      </w:r>
      <w:hyperlink r:id="rId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DME is equipment that can withstand repeated use, is primarily and customarily used to serve a medical purpose, is generally not useful to a person in the absence of an illness or injury, and is appropriate for use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in a hospital, nursing facility, or ICF/ID is not separately payable.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services in a nursing facility or an ICF/ID when all of the following requirements and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documentation or a reasonable facsimile is completed by a physician, PA, or ARNP and qualifies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documentation shows that the member requires oxygen for 12 hours or more per day for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Oxygen logs must be maintained by the provider. The time between any reading shall not exceed more than 45 days. The documentation maintained in the provider record must contain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initial, periodic and ending reading on the time meter clock on each oxygen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dates of each initial, periodic and ending reading,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ongoing need for oxygen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Medicaid payment will be based on the least costly method of oxygen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Medicaid payment will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is not allowed for oxygen services that are not documented according to the department of inspections, appeals, and licensing requirements in </w:t>
      </w:r>
      <w:hyperlink r:id="rId9">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generating devices with approved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Wheelchairs for members in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DME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Automated medication dispenser. </w:t>
      </w:r>
    </w:p>
    <w:p>
      <w:pPr>
        <w:spacing w:before="0" w:after="0"/>
        <w:ind w:left="120"/>
        <w:jc w:val="both"/>
      </w:pPr>
      <w:r>
        <w:rPr>
          <w:rFonts w:ascii="Times New Roman" w:hAnsi="Times New Roman"/>
          <w:b w:val="false"/>
          <w:i w:val="false"/>
          <w:color w:val="000000"/>
          <w:sz w:val="22"/>
        </w:rPr>
        <w:t xml:space="preserve">Bathtub/shower chair, bench. See subrule </w:t>
      </w:r>
      <w:hyperlink r:id="rId1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Commode, shower commode chair. See subrule </w:t>
      </w:r>
      <w:hyperlink r:id="rId11">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Decubitus equipment.</w:t>
      </w:r>
    </w:p>
    <w:p>
      <w:pPr>
        <w:spacing w:before="0" w:after="0"/>
        <w:ind w:left="120"/>
        <w:jc w:val="both"/>
      </w:pPr>
      <w:r>
        <w:rPr>
          <w:rFonts w:ascii="Times New Roman" w:hAnsi="Times New Roman"/>
          <w:b w:val="false"/>
          <w:i w:val="false"/>
          <w:color w:val="000000"/>
          <w:sz w:val="22"/>
        </w:rPr>
        <w:t>Dialysis equipment.</w:t>
      </w:r>
    </w:p>
    <w:p>
      <w:pPr>
        <w:spacing w:before="0" w:after="0"/>
        <w:ind w:left="120"/>
        <w:jc w:val="both"/>
      </w:pPr>
      <w:r>
        <w:rPr>
          <w:rFonts w:ascii="Times New Roman" w:hAnsi="Times New Roman"/>
          <w:b w:val="false"/>
          <w:i w:val="false"/>
          <w:color w:val="000000"/>
          <w:sz w:val="22"/>
        </w:rPr>
        <w:t>Diaphragm (contraceptive device).</w:t>
      </w:r>
    </w:p>
    <w:p>
      <w:pPr>
        <w:spacing w:before="0" w:after="0"/>
        <w:ind w:left="120"/>
        <w:jc w:val="both"/>
      </w:pPr>
      <w:r>
        <w:rPr>
          <w:rFonts w:ascii="Times New Roman" w:hAnsi="Times New Roman"/>
          <w:b w:val="false"/>
          <w:i w:val="false"/>
          <w:color w:val="000000"/>
          <w:sz w:val="22"/>
        </w:rPr>
        <w:t xml:space="preserve">Enclosed bed. See subrule </w:t>
      </w:r>
      <w:hyperlink r:id="rId12">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Enuresis alarm system (bed-wetting alarm device) for members five years of age or older.</w:t>
      </w:r>
    </w:p>
    <w:p>
      <w:pPr>
        <w:spacing w:before="0" w:after="0"/>
        <w:ind w:left="120"/>
        <w:jc w:val="both"/>
      </w:pPr>
      <w:r>
        <w:rPr>
          <w:rFonts w:ascii="Times New Roman" w:hAnsi="Times New Roman"/>
          <w:b w:val="false"/>
          <w:i w:val="false"/>
          <w:color w:val="000000"/>
          <w:sz w:val="22"/>
        </w:rPr>
        <w:t>Heat/cold application device.</w:t>
      </w:r>
    </w:p>
    <w:p>
      <w:pPr>
        <w:spacing w:before="0" w:after="0"/>
        <w:ind w:left="120"/>
        <w:jc w:val="both"/>
      </w:pPr>
      <w:r>
        <w:rPr>
          <w:rFonts w:ascii="Times New Roman" w:hAnsi="Times New Roman"/>
          <w:b w:val="false"/>
          <w:i w:val="false"/>
          <w:color w:val="000000"/>
          <w:sz w:val="22"/>
        </w:rPr>
        <w:t>Hospital bed and accessories.</w:t>
      </w:r>
    </w:p>
    <w:p>
      <w:pPr>
        <w:spacing w:before="0" w:after="0"/>
        <w:ind w:left="120"/>
        <w:jc w:val="both"/>
      </w:pPr>
      <w:r>
        <w:rPr>
          <w:rFonts w:ascii="Times New Roman" w:hAnsi="Times New Roman"/>
          <w:b w:val="false"/>
          <w:i w:val="false"/>
          <w:color w:val="000000"/>
          <w:sz w:val="22"/>
        </w:rPr>
        <w:t xml:space="preserve">Inhalation equipment. See subrule </w:t>
      </w:r>
      <w:hyperlink r:id="rId13">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Insulin infusion pump. See subrule </w:t>
      </w:r>
      <w:hyperlink r:id="rId14">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Lymphedema pump.</w:t>
      </w:r>
    </w:p>
    <w:p>
      <w:pPr>
        <w:spacing w:before="0" w:after="0"/>
        <w:ind w:left="120"/>
        <w:jc w:val="both"/>
      </w:pPr>
      <w:r>
        <w:rPr>
          <w:rFonts w:ascii="Times New Roman" w:hAnsi="Times New Roman"/>
          <w:b w:val="false"/>
          <w:i w:val="false"/>
          <w:color w:val="000000"/>
          <w:sz w:val="22"/>
        </w:rPr>
        <w:t xml:space="preserve">Mobility device and accessories. See subrule </w:t>
      </w:r>
      <w:hyperlink r:id="rId1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Neuromuscular stimulator.</w:t>
      </w:r>
    </w:p>
    <w:p>
      <w:pPr>
        <w:spacing w:before="0" w:after="0"/>
        <w:ind w:left="120"/>
        <w:jc w:val="both"/>
      </w:pPr>
      <w:r>
        <w:rPr>
          <w:rFonts w:ascii="Times New Roman" w:hAnsi="Times New Roman"/>
          <w:b w:val="false"/>
          <w:i w:val="false"/>
          <w:color w:val="000000"/>
          <w:sz w:val="22"/>
        </w:rPr>
        <w:t>Oximeter.</w:t>
      </w:r>
    </w:p>
    <w:p>
      <w:pPr>
        <w:spacing w:before="0" w:after="0"/>
        <w:ind w:left="120"/>
        <w:jc w:val="both"/>
      </w:pPr>
      <w:r>
        <w:rPr>
          <w:rFonts w:ascii="Times New Roman" w:hAnsi="Times New Roman"/>
          <w:b w:val="false"/>
          <w:i w:val="false"/>
          <w:color w:val="000000"/>
          <w:sz w:val="22"/>
        </w:rPr>
        <w:t xml:space="preserve">Oxygen, subject to the limitations in paragraphs </w:t>
      </w:r>
      <w:hyperlink r:id="rId16">
        <w:r>
          <w:rPr>
            <w:rStyle w:val="Hyperlink"/>
            <w:rFonts w:ascii="Times New Roman" w:hAnsi="Times New Roman"/>
            <w:b w:val="false"/>
            <w:i w:val="false"/>
            <w:color w:val="000000"/>
            <w:sz w:val="22"/>
          </w:rPr>
          <w:t>78.10(2)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Patient lift. See subrule </w:t>
      </w:r>
      <w:hyperlink r:id="rId1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Phototherapy bilirubin light.</w:t>
      </w:r>
    </w:p>
    <w:p>
      <w:pPr>
        <w:spacing w:before="0" w:after="0"/>
        <w:ind w:left="120"/>
        <w:jc w:val="both"/>
      </w:pPr>
      <w:r>
        <w:rPr>
          <w:rFonts w:ascii="Times New Roman" w:hAnsi="Times New Roman"/>
          <w:b w:val="false"/>
          <w:i w:val="false"/>
          <w:color w:val="000000"/>
          <w:sz w:val="22"/>
        </w:rPr>
        <w:t>Protective helmet.</w:t>
      </w:r>
    </w:p>
    <w:p>
      <w:pPr>
        <w:spacing w:before="0" w:after="0"/>
        <w:ind w:left="120"/>
        <w:jc w:val="both"/>
      </w:pPr>
      <w:r>
        <w:rPr>
          <w:rFonts w:ascii="Times New Roman" w:hAnsi="Times New Roman"/>
          <w:b w:val="false"/>
          <w:i w:val="false"/>
          <w:color w:val="000000"/>
          <w:sz w:val="22"/>
        </w:rPr>
        <w:t>Seat lift chair.</w:t>
      </w:r>
    </w:p>
    <w:p>
      <w:pPr>
        <w:spacing w:before="0" w:after="0"/>
        <w:ind w:left="120"/>
        <w:jc w:val="both"/>
      </w:pPr>
      <w:r>
        <w:rPr>
          <w:rFonts w:ascii="Times New Roman" w:hAnsi="Times New Roman"/>
          <w:b w:val="false"/>
          <w:i w:val="false"/>
          <w:color w:val="000000"/>
          <w:sz w:val="22"/>
        </w:rPr>
        <w:t xml:space="preserve">Speech generating device. See subrule </w:t>
      </w:r>
      <w:hyperlink r:id="rId1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Traction equipment.</w:t>
      </w:r>
    </w:p>
    <w:p>
      <w:pPr>
        <w:spacing w:before="0" w:after="0"/>
        <w:ind w:left="120"/>
        <w:jc w:val="both"/>
      </w:pPr>
      <w:r>
        <w:rPr>
          <w:rFonts w:ascii="Times New Roman" w:hAnsi="Times New Roman"/>
          <w:b w:val="false"/>
          <w:i w:val="false"/>
          <w:color w:val="000000"/>
          <w:sz w:val="22"/>
        </w:rPr>
        <w:t>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of home oxygen equipment and oxygen will be considered reasonable and necessary for members in accordance with Medicare criteria and as shown by supporting medical documentation. The physician, PA, or ARNP shall document that other forms of treatment are contraindicated or have been tried and have not been successful and that oxygen therapy is required. </w:t>
      </w:r>
      <w:r>
        <w:rPr>
          <w:rFonts w:ascii="Times New Roman" w:hAnsi="Times New Roman"/>
          <w:b w:val="false"/>
          <w:i w:val="false"/>
          <w:color w:val="000000"/>
          <w:sz w:val="22"/>
        </w:rPr>
        <w:t>EXCEPTION</w:t>
      </w:r>
      <w:r>
        <w:rPr>
          <w:rFonts w:ascii="Times New Roman" w:hAnsi="Times New Roman"/>
          <w:b w:val="false"/>
          <w:i w:val="false"/>
          <w:color w:val="000000"/>
          <w:sz w:val="22"/>
        </w:rPr>
        <w:t>: Home oxygen equipment and oxygen are covered for children through three years of age when prescribed by a physician, PA, or ARNP. A pulse oximeter reading must be obtained yearly and documented in the provider and physician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identify the medical necessity for oxygen therapy, medical documentation, or a reasonable facsimile completed by a physician, PA, or ARNP shall qualify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condition or need for oxygen services changes, the attending physician, PA, or ARNP must adjust the documentation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PA, or ARNP of the specific activities for which portable oxygen is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oxygen systems will be made only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accessories, disposable supplies, servicing, and repairing of oxygen systems are included in the monthly Medicaid payment for oxygen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manual wheelchairs. Coverage of a standard manual wheelchair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 rims with or without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Weight-specific components required by the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Elevating legrest, lower extension tube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Armrest (detachable, non-adjustable or adjustable) with or without arm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Footrest (swingaway, detachable), including lower extension tube(s)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 size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Wheelchair bearings;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Caster fork, replacement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manual wheelchair accessories that are separately billable and require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Headrest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One-arm drive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Positioning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skin protection seat and back cushions;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Anti-rollback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Coverage of a standard power wheelchair requires prior authorization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Lap belt or safety belt;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Battery charger, single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Legrests (fixed, swingaway, or detachable non-elevation legrests with or without calf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Footrests/foot platform (fixed, swingaway, detachable footrests or a foot platform without angle adjustment, single adjustable footplate);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Armrests (fixed, swingaway, detachable non-adjustable height armrests with arm pad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weight-specific components (braces, bars, upholstery, brackets, motors, gears, etc.) as required by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seat width and depth. For power wheelchairs with a sling/solid seat/back, the following may be billed separately: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back width. For power wheelchairs with a sling/solid seat/back, the following may be billed separately: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Non-expandable controller or standard proportional joystick (integrated or remote);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accessories that are billed separately and require a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Shoulder harness/straps or chest straps/vest;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Elevating legrest;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Angle adjustable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Adjustable height armrests;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Expandable controller or nonstandard joystick (i.e., non-proportional or mini, compact or short throw proportional, or other alternative control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items are payable with a prior authorization, in accordance with </w:t>
      </w:r>
      <w:r>
        <w:rPr>
          <w:rFonts w:ascii="Times New Roman" w:hAnsi="Times New Roman"/>
          <w:b w:val="false"/>
          <w:i w:val="false"/>
          <w:color w:val="000000"/>
          <w:sz w:val="22"/>
        </w:rPr>
        <w:t>42 CFR 414.224</w:t>
      </w:r>
      <w:r>
        <w:rPr>
          <w:rFonts w:ascii="Times New Roman" w:hAnsi="Times New Roman"/>
          <w:b w:val="false"/>
          <w:i w:val="false"/>
          <w:color w:val="000000"/>
          <w:sz w:val="22"/>
        </w:rPr>
        <w:t xml:space="preserve">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Prosthetic devices mean replacement, corrective, or supportive devices prescribed by a physician (doctor of medicine, osteopathy or podiatry), PA, or ARNP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not covered when dispensed to a member prior to the time the member undergoes a procedure which will make necessary the use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prosthetic devices covered through the Medicaid program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delivery supplies and products. See subrule </w:t>
      </w:r>
      <w:hyperlink r:id="rId19">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See rule </w:t>
      </w:r>
      <w:hyperlink r:id="rId20">
        <w:r>
          <w:rPr>
            <w:rStyle w:val="Hyperlink"/>
            <w:rFonts w:ascii="Times New Roman" w:hAnsi="Times New Roman"/>
            <w:b w:val="false"/>
            <w:i w:val="false"/>
            <w:color w:val="000000"/>
            <w:sz w:val="22"/>
          </w:rPr>
          <w:t>441—78.14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Orthotic devices. See paragraph </w:t>
      </w:r>
      <w:hyperlink r:id="rId21">
        <w:r>
          <w:rPr>
            <w:rStyle w:val="Hyperlink"/>
            <w:rFonts w:ascii="Times New Roman" w:hAnsi="Times New Roman"/>
            <w:b w:val="false"/>
            <w:i w:val="false"/>
            <w:color w:val="000000"/>
            <w:sz w:val="22"/>
          </w:rPr>
          <w:t>78.10(3)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limitations on coverage of cranial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Prosthetic shoes, orthopedic shoes. See rule </w:t>
      </w:r>
      <w:hyperlink r:id="rId22">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Tracheotomy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Vibrotactile aids. Vibrotactile aids are payable only once in a four-year period unless the original aid is broken beyond repair or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Cranial orthotic device. Payment will be approved for cranial orthotic devices when the device is medically necessary for the postsurgical treatment of synostotic plagiocephaly. Payment shall also be approved when there is documentation supporting moderate to severe nonsynostotic positional plagiocephaly and meets minimum medical necessity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78.10(4)</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23">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medical supplies and supplies necessary for the effective use of a payable item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Active pharmaceutical ingredients and excipients identified as preferred on the preferred drug list published pursuant to Iowa Code section </w:t>
      </w:r>
      <w:hyperlink r:id="rId2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xml:space="preserve">Diabetic supplies (including but not limited to blood glucose test strips, lancing devices, lancets, needles, syringes, and diabetic urine test supplies). See subrule </w:t>
      </w:r>
      <w:hyperlink r:id="rId2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Dialysis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Dressings.</w:t>
      </w:r>
    </w:p>
    <w:p>
      <w:pPr>
        <w:spacing w:before="0" w:after="0"/>
        <w:ind w:left="120"/>
        <w:jc w:val="both"/>
      </w:pPr>
      <w:r>
        <w:rPr>
          <w:rFonts w:ascii="Times New Roman" w:hAnsi="Times New Roman"/>
          <w:b w:val="false"/>
          <w:i w:val="false"/>
          <w:color w:val="000000"/>
          <w:sz w:val="22"/>
        </w:rPr>
        <w:t>Elastic antiembolism support stocking.</w:t>
      </w:r>
    </w:p>
    <w:p>
      <w:pPr>
        <w:spacing w:before="0" w:after="0"/>
        <w:ind w:left="120"/>
        <w:jc w:val="both"/>
      </w:pPr>
      <w:r>
        <w:rPr>
          <w:rFonts w:ascii="Times New Roman" w:hAnsi="Times New Roman"/>
          <w:b w:val="false"/>
          <w:i w:val="false"/>
          <w:color w:val="000000"/>
          <w:sz w:val="22"/>
        </w:rPr>
        <w:t>Enema.</w:t>
      </w:r>
    </w:p>
    <w:p>
      <w:pPr>
        <w:spacing w:before="0" w:after="0"/>
        <w:ind w:left="120"/>
        <w:jc w:val="both"/>
      </w:pPr>
      <w:r>
        <w:rPr>
          <w:rFonts w:ascii="Times New Roman" w:hAnsi="Times New Roman"/>
          <w:b w:val="false"/>
          <w:i w:val="false"/>
          <w:color w:val="000000"/>
          <w:sz w:val="22"/>
        </w:rPr>
        <w:t>Hearing aid batteries.</w:t>
      </w:r>
    </w:p>
    <w:p>
      <w:pPr>
        <w:spacing w:before="0" w:after="0"/>
        <w:ind w:left="120"/>
        <w:jc w:val="both"/>
      </w:pPr>
      <w:r>
        <w:rPr>
          <w:rFonts w:ascii="Times New Roman" w:hAnsi="Times New Roman"/>
          <w:b w:val="false"/>
          <w:i w:val="false"/>
          <w:color w:val="000000"/>
          <w:sz w:val="22"/>
        </w:rPr>
        <w:t>Incontinence products (for members three years of age and older).</w:t>
      </w:r>
    </w:p>
    <w:p>
      <w:pPr>
        <w:spacing w:before="0" w:after="0"/>
        <w:ind w:left="120"/>
        <w:jc w:val="both"/>
      </w:pPr>
      <w:r>
        <w:rPr>
          <w:rFonts w:ascii="Times New Roman" w:hAnsi="Times New Roman"/>
          <w:b w:val="false"/>
          <w:i w:val="false"/>
          <w:color w:val="000000"/>
          <w:sz w:val="22"/>
        </w:rPr>
        <w:t xml:space="preserve">Oral nutritional products. See subrule </w:t>
      </w:r>
      <w:hyperlink r:id="rId26">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Respirator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Surgical supplies.</w:t>
      </w:r>
    </w:p>
    <w:p>
      <w:pPr>
        <w:spacing w:before="0" w:after="0"/>
        <w:ind w:left="120"/>
        <w:jc w:val="both"/>
      </w:pPr>
      <w:r>
        <w:rPr>
          <w:rFonts w:ascii="Times New Roman" w:hAnsi="Times New Roman"/>
          <w:b w:val="false"/>
          <w:i w:val="false"/>
          <w:color w:val="000000"/>
          <w:sz w:val="22"/>
        </w:rPr>
        <w:t>Urinary collection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types of medical supplies will be approved for payment for members receiving care in a nursing facility or an ICF/ID when prescribed by the physician, PA, or ARNP: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but not limited to lancing devices, lancets,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78.10(5)</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requirements. </w:t>
      </w:r>
      <w:r>
        <w:rPr>
          <w:rFonts w:ascii="Times New Roman" w:hAnsi="Times New Roman"/>
          <w:b w:val="false"/>
          <w:i w:val="false"/>
          <w:color w:val="000000"/>
          <w:sz w:val="22"/>
        </w:rPr>
        <w:t xml:space="preserve">Prior authorization pursuant to rule </w:t>
      </w:r>
      <w:hyperlink r:id="rId27">
        <w:r>
          <w:rPr>
            <w:rStyle w:val="Hyperlink"/>
            <w:rFonts w:ascii="Times New Roman" w:hAnsi="Times New Roman"/>
            <w:b w:val="false"/>
            <w:i w:val="false"/>
            <w:color w:val="000000"/>
            <w:sz w:val="22"/>
          </w:rPr>
          <w:t>441—79.8</w:t>
        </w:r>
      </w:hyperlink>
      <w:r>
        <w:rPr>
          <w:rFonts w:ascii="Times New Roman" w:hAnsi="Times New Roman"/>
          <w:b w:val="false"/>
          <w:i w:val="false"/>
          <w:color w:val="000000"/>
          <w:sz w:val="22"/>
        </w:rPr>
        <w:t>(249A) is required for some medical equipment and supplies. Refer to the department’s website for a list of items that require a prior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0.pdf" Type="http://schemas.openxmlformats.org/officeDocument/2006/relationships/hyperlink" Id="rId4"/>
    <Relationship TargetMode="External" Target="https://www.legis.iowa.gov/docs/iac/rule/441.78.10.pdf" Type="http://schemas.openxmlformats.org/officeDocument/2006/relationships/hyperlink" Id="rId5"/>
    <Relationship TargetMode="External" Target="https://www.legis.iowa.gov/docs/iac/rule/441.78.10.pdf" Type="http://schemas.openxmlformats.org/officeDocument/2006/relationships/hyperlink" Id="rId6"/>
    <Relationship TargetMode="External" Target="https://www.legis.iowa.gov/docs/iac/rule/441.78.28.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ac/chapter/481.58.pdf" Type="http://schemas.openxmlformats.org/officeDocument/2006/relationships/hyperlink" Id="rId9"/>
    <Relationship TargetMode="External" Target="https://www.legis.iowa.gov/docs/iac/rule/441.78.10.pdf" Type="http://schemas.openxmlformats.org/officeDocument/2006/relationships/hyperlink" Id="rId10"/>
    <Relationship TargetMode="External" Target="https://www.legis.iowa.gov/docs/iac/rule/441.78.10.pdf" Type="http://schemas.openxmlformats.org/officeDocument/2006/relationships/hyperlink" Id="rId11"/>
    <Relationship TargetMode="External" Target="https://www.legis.iowa.gov/docs/iac/rule/441.78.10.pdf" Type="http://schemas.openxmlformats.org/officeDocument/2006/relationships/hyperlink" Id="rId12"/>
    <Relationship TargetMode="External" Target="https://www.legis.iowa.gov/docs/iac/rule/441.78.10.pdf" Type="http://schemas.openxmlformats.org/officeDocument/2006/relationships/hyperlink" Id="rId13"/>
    <Relationship TargetMode="External" Target="https://www.legis.iowa.gov/docs/iac/rule/441.78.10.pdf" Type="http://schemas.openxmlformats.org/officeDocument/2006/relationships/hyperlink" Id="rId14"/>
    <Relationship TargetMode="External" Target="https://www.legis.iowa.gov/docs/iac/rule/441.78.10.pdf" Type="http://schemas.openxmlformats.org/officeDocument/2006/relationships/hyperlink" Id="rId15"/>
    <Relationship TargetMode="External" Target="https://www.legis.iowa.gov/docs/iac/rule/441.78.10.pdf" Type="http://schemas.openxmlformats.org/officeDocument/2006/relationships/hyperlink" Id="rId16"/>
    <Relationship TargetMode="External" Target="https://www.legis.iowa.gov/docs/iac/rule/441.78.10.pdf" Type="http://schemas.openxmlformats.org/officeDocument/2006/relationships/hyperlink" Id="rId17"/>
    <Relationship TargetMode="External" Target="https://www.legis.iowa.gov/docs/iac/rule/441.78.10.pdf" Type="http://schemas.openxmlformats.org/officeDocument/2006/relationships/hyperlink" Id="rId18"/>
    <Relationship TargetMode="External" Target="https://www.legis.iowa.gov/docs/iac/rule/441.78.10.pdf" Type="http://schemas.openxmlformats.org/officeDocument/2006/relationships/hyperlink" Id="rId19"/>
    <Relationship TargetMode="External" Target="https://www.legis.iowa.gov/docs/iac/rule/441.78.14.pdf" Type="http://schemas.openxmlformats.org/officeDocument/2006/relationships/hyperlink" Id="rId20"/>
    <Relationship TargetMode="External" Target="https://www.legis.iowa.gov/docs/iac/rule/441.78.10.pdf" Type="http://schemas.openxmlformats.org/officeDocument/2006/relationships/hyperlink" Id="rId21"/>
    <Relationship TargetMode="External" Target="https://www.legis.iowa.gov/docs/iac/rule/441.78.15.pdf" Type="http://schemas.openxmlformats.org/officeDocument/2006/relationships/hyperlink" Id="rId22"/>
    <Relationship TargetMode="External" Target="https://www.legis.iowa.gov/docs/ico/chapter/249A.20A.pdf" Type="http://schemas.openxmlformats.org/officeDocument/2006/relationships/hyperlink" Id="rId23"/>
    <Relationship TargetMode="External" Target="https://www.legis.iowa.gov/docs/ico/chapter/249A.20A.pdf" Type="http://schemas.openxmlformats.org/officeDocument/2006/relationships/hyperlink" Id="rId24"/>
    <Relationship TargetMode="External" Target="https://www.legis.iowa.gov/docs/iac/rule/441.78.10.pdf" Type="http://schemas.openxmlformats.org/officeDocument/2006/relationships/hyperlink" Id="rId25"/>
    <Relationship TargetMode="External" Target="https://www.legis.iowa.gov/docs/iac/rule/441.78.10.pdf" Type="http://schemas.openxmlformats.org/officeDocument/2006/relationships/hyperlink" Id="rId26"/>
    <Relationship TargetMode="External" Target="https://www.legis.iowa.gov/docs/iac/rule/441.79.8.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