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441—77.51</w:t>
      </w:r>
      <w:r>
        <w:rPr>
          <w:rFonts w:ascii="Times New Roman" w:hAnsi="Times New Roman"/>
          <w:b/>
          <w:i w:val="false"/>
          <w:color w:val="000000"/>
          <w:sz w:val="22"/>
        </w:rPr>
        <w:t xml:space="preserve">(249A) </w:t>
      </w:r>
      <w:r>
        <w:rPr>
          <w:rFonts w:ascii="Times New Roman" w:hAnsi="Times New Roman"/>
          <w:b/>
          <w:i w:val="false"/>
          <w:color w:val="000000"/>
          <w:sz w:val="22"/>
        </w:rPr>
        <w:t xml:space="preserve">Community-based neurobehavioral rehabilitation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“Assessment”</w:t>
      </w:r>
      <w:r>
        <w:rPr>
          <w:rFonts w:ascii="Times New Roman" w:hAnsi="Times New Roman"/>
          <w:b w:val="false"/>
          <w:i w:val="false"/>
          <w:color w:val="000000"/>
          <w:sz w:val="22"/>
        </w:rPr>
        <w:t> </w:t>
      </w:r>
      <w:r>
        <w:rPr>
          <w:rFonts w:ascii="Times New Roman" w:hAnsi="Times New Roman"/>
          <w:b w:val="false"/>
          <w:i w:val="false"/>
          <w:color w:val="000000"/>
          <w:sz w:val="22"/>
        </w:rPr>
        <w:t>means the review of the current functioning of the member using the service in regard to the member’s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“Brain injury”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diagnosis in accordance with rule </w:t>
      </w:r>
      <w:hyperlink r:id="rId4">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w:t>
      </w:r>
      <w:r>
        <w:rPr>
          <w:rFonts w:ascii="Times New Roman" w:hAnsi="Times New Roman"/>
          <w:b w:val="false"/>
          <w:i w:val="false"/>
          <w:color w:val="000000"/>
          <w:sz w:val="22"/>
        </w:rPr>
        <w:t> </w:t>
      </w:r>
      <w:r>
        <w:rPr>
          <w:rFonts w:ascii="Times New Roman" w:hAnsi="Times New Roman"/>
          <w:b w:val="false"/>
          <w:i w:val="false"/>
          <w:color w:val="000000"/>
          <w:sz w:val="22"/>
        </w:rPr>
        <w:t>means the services provided by trained and licensed health care professionals to restore or maintain the member’s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“Intermittent community-based neurobehavioral rehabilitation services”</w:t>
      </w:r>
      <w:r>
        <w:rPr>
          <w:rFonts w:ascii="Times New Roman" w:hAnsi="Times New Roman"/>
          <w:b w:val="false"/>
          <w:i w:val="false"/>
          <w:color w:val="000000"/>
          <w:sz w:val="22"/>
        </w:rPr>
        <w:t> </w:t>
      </w:r>
      <w:r>
        <w:rPr>
          <w:rFonts w:ascii="Times New Roman" w:hAnsi="Times New Roman"/>
          <w:b w:val="false"/>
          <w:i w:val="false"/>
          <w:color w:val="000000"/>
          <w:sz w:val="22"/>
        </w:rPr>
        <w:t>means services provided to a Medicaid member on an as-needed basis to support the member and the member’s family or caregivers to assist the member to increase adaptive behaviors, decrease maladaptive behaviors, and adapt and accommodate to challenging behaviors to support the member to remain in the member’s own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been determined to be eligible for Medicaid under </w:t>
      </w:r>
      <w:hyperlink r:id="rId5">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“Neurobehavioral rehabilitation”</w:t>
      </w:r>
      <w:r>
        <w:rPr>
          <w:rFonts w:ascii="Times New Roman" w:hAnsi="Times New Roman"/>
          <w:b w:val="false"/>
          <w:i w:val="false"/>
          <w:color w:val="000000"/>
          <w:sz w:val="22"/>
        </w:rPr>
        <w:t> </w:t>
      </w:r>
      <w:r>
        <w:rPr>
          <w:rFonts w:ascii="Times New Roman" w:hAnsi="Times New Roman"/>
          <w:b w:val="false"/>
          <w:i w:val="false"/>
          <w:color w:val="000000"/>
          <w:sz w:val="22"/>
        </w:rPr>
        <w:t>refers to a specialized category of neurorehabilitation provided by a multidisciplinary team that has been trained in, and delivers, services individually designed to address cognitive, medical, behavioral and psychosocial challenges, as well as the physical manifestations of acquired brain injury. Services concurrently work to optimize functioning at personal, family and community levels by supporting the increase of adaptive behaviors, decrease of maladaptive behaviors and adaptation and accommodation to challenging behaviors to support a member to maximize the member’s independence in activities of daily living and ability to live in the member’s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a set of related resources and services directed to the accomplishment of a fixed set of goals for eligible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“Standardized assessment”</w:t>
      </w:r>
      <w:r>
        <w:rPr>
          <w:rFonts w:ascii="Times New Roman" w:hAnsi="Times New Roman"/>
          <w:b w:val="false"/>
          <w:i w:val="false"/>
          <w:color w:val="000000"/>
          <w:sz w:val="22"/>
        </w:rPr>
        <w:t> </w:t>
      </w:r>
      <w:r>
        <w:rPr>
          <w:rFonts w:ascii="Times New Roman" w:hAnsi="Times New Roman"/>
          <w:b w:val="false"/>
          <w:i w:val="false"/>
          <w:color w:val="000000"/>
          <w:sz w:val="22"/>
        </w:rPr>
        <w:t>means a valid, reliable, and comprehensive functional assessment tool(s) or process, or both, approved by the department for use in the assessment of a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77.51(2)</w:t>
      </w:r>
      <w:r>
        <w:rPr>
          <w:rFonts w:ascii="Times New Roman" w:hAnsi="Times New Roman"/>
          <w:b w:val="false"/>
          <w:i w:val="false"/>
          <w:color w:val="000000"/>
          <w:sz w:val="22"/>
        </w:rPr>
        <w:t> </w:t>
      </w:r>
      <w:r>
        <w:rPr>
          <w:rFonts w:ascii="Times New Roman" w:hAnsi="Times New Roman"/>
          <w:b w:val="false"/>
          <w:i/>
          <w:color w:val="000000"/>
          <w:sz w:val="22"/>
        </w:rPr>
        <w:t xml:space="preserve">Eligible providers. </w:t>
      </w:r>
      <w:r>
        <w:rPr>
          <w:rFonts w:ascii="Times New Roman" w:hAnsi="Times New Roman"/>
          <w:b w:val="false"/>
          <w:i w:val="false"/>
          <w:color w:val="000000"/>
          <w:sz w:val="22"/>
        </w:rPr>
        <w:t>The following agencies may provide community-based neurobehavioral rehabilitation residential and intermittent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organization that is accredited by a department-approved, nationally recognized accreditation organization as a specialty brain injury rehabilitation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Agencies not accredited by a department-approved, nationally recognized accreditation organization as a specialty brain injury rehabilitation service provider that have applied for accreditation within the last 16 months to provide services may be enrolled. However, an organization that has not received accreditation within 16 months after application shall no longer be a qualified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77.51(3)</w:t>
      </w:r>
      <w:r>
        <w:rPr>
          <w:rFonts w:ascii="Times New Roman" w:hAnsi="Times New Roman"/>
          <w:b w:val="false"/>
          <w:i w:val="false"/>
          <w:color w:val="000000"/>
          <w:sz w:val="22"/>
        </w:rPr>
        <w:t> </w:t>
      </w:r>
      <w:r>
        <w:rPr>
          <w:rFonts w:ascii="Times New Roman" w:hAnsi="Times New Roman"/>
          <w:b w:val="false"/>
          <w:i/>
          <w:color w:val="000000"/>
          <w:sz w:val="22"/>
        </w:rPr>
        <w:t xml:space="preserve">Provider standards. </w:t>
      </w:r>
      <w:r>
        <w:rPr>
          <w:rFonts w:ascii="Times New Roman" w:hAnsi="Times New Roman"/>
          <w:b w:val="false"/>
          <w:i w:val="false"/>
          <w:color w:val="000000"/>
          <w:sz w:val="22"/>
        </w:rPr>
        <w:t>All community-based neurobehavioral rehabilitation service providers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organization meets the outcome-based standards for community-based neurobehavioral rehabilitation service providers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provide high-quality supports and services to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have a defined mission commensurate with members’ needs, desires, and 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be fiscally sound and shall establish and maintain fiscal accountability.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administrator shall be a CBIST through the ACBIS or a CBIS under the direct supervision of a CBIST or a qualified brain injury professional as defined in rule </w:t>
      </w:r>
      <w:hyperlink r:id="rId6">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 with additional certification as approved by the department. The administrator shall be present in the assigned location for 25 hours per week. In the event of an absence from the assigned location exceeding four weeks, the organization shall designate a qualified replacement to act as administrator for the duration of the assigned administrator’s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minimum of 75 percent of the organization’s administrative and direct care personnel shall meet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bachelor’s degree in a human services-related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an associate’s degree in human services with two years of experience working with individuals with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an individual who is in the process of seeking a degree in the human services field with two years of experience working with individuals with brain injury;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a CBIS certified through the ACBIS or have other nationally recognized brain injury certification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have qualified personnel trained in the provision of direct care services to people with a brain injury. The training must be commensurate with the needs of the members served. Employees shall receive training and demonstrate competency in performing assigned duties and in all interactions with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organization provides training and supports to its personnel. Training shall be provided before direct service provision and must be ongoing. At a minimum, the training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Completion of the department-approved brain injury training modules.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Confidentiality and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Dependent adult and child abuse prevention and mandatory reporter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Individualized rehabilitation treatment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Major mental health disorder basics.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30 days of commencement of direct service provision, employees shall complete nationally recognized cardiopulmonary resuscitation (CPR) certification, a first-aid course, fire prevention and reaction training and universal precautions training. These training courses shall be completed no less than annually, with the exception of CPR certification, which must be renewed prior to expiration of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first six months of commencement of direct service provision, employees shall complete training required by subparagraph </w:t>
      </w:r>
      <w:hyperlink r:id="rId7">
        <w:r>
          <w:rPr>
            <w:rStyle w:val="Hyperlink"/>
            <w:rFonts w:ascii="Times New Roman" w:hAnsi="Times New Roman"/>
            <w:b w:val="false"/>
            <w:i w:val="false"/>
            <w:color w:val="000000"/>
            <w:sz w:val="22"/>
          </w:rPr>
          <w:t>77.51(3)</w:t>
        </w:r>
      </w:hyperlink>
      <w:r>
        <w:rPr>
          <w:rFonts w:ascii="Times New Roman" w:hAnsi="Times New Roman"/>
          <w:b w:val="false"/>
          <w:i/>
          <w:color w:val="000000"/>
          <w:sz w:val="22"/>
        </w:rPr>
        <w:t>“a”</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Within 12 months of the commencement of direct service provision, employees shall complete a department-approved, nationally recognized certified brain injury specialist training. A majority of eligible employees within 12 months of the commencement of direct service provision shall be CBIS certified through ACBIS or have other nationally recognized brain injury certification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have in place an outcome management system that measures the efficiency and effectiveness of service provision, including members’ preadmission location of service, length of stay, discharge location, reason for discharge, member and stakeholder satisfaction, and access to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have in place a systematic, organization-wide, planned approach to designing, measuring, evaluating, and improving the level of its performance. The organization shall be required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Measure and analyze organizational activities and services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Conduct satisfaction surveys with members, family members, employees and stakeholders, and share the information with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Conduct an internal review of member service records at regular intervals.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Track major and minor incident data according to subrule </w:t>
      </w:r>
      <w:hyperlink r:id="rId8">
        <w:r>
          <w:rPr>
            <w:rStyle w:val="Hyperlink"/>
            <w:rFonts w:ascii="Times New Roman" w:hAnsi="Times New Roman"/>
            <w:b w:val="false"/>
            <w:i w:val="false"/>
            <w:color w:val="000000"/>
            <w:sz w:val="22"/>
          </w:rPr>
          <w:t>77.30(3)</w:t>
        </w:r>
      </w:hyperlink>
      <w:r>
        <w:rPr>
          <w:rFonts w:ascii="Times New Roman" w:hAnsi="Times New Roman"/>
          <w:b w:val="false"/>
          <w:i w:val="false"/>
          <w:color w:val="000000"/>
          <w:sz w:val="22"/>
        </w:rPr>
        <w:t xml:space="preserve"> and unexpected occurrences involving death or serious physical or psychological injury, or the risk thereof, and analyze the data to identify trends annually to ensure the health and safety of members served by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Continuously identify areas in need of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Develop a plan to address the identified areas in need of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Implement the plan, document the results, and report to the governing body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organization shall have in place written policies and procedures and a personnel training program for the identification and reporting of child and dependent adult abuse to the department pursuant to 441—Chapters </w:t>
      </w:r>
      <w:hyperlink r:id="rId9">
        <w:r>
          <w:rPr>
            <w:rStyle w:val="Hyperlink"/>
            <w:rFonts w:ascii="Times New Roman" w:hAnsi="Times New Roman"/>
            <w:b w:val="false"/>
            <w:i w:val="false"/>
            <w:color w:val="000000"/>
            <w:sz w:val="22"/>
          </w:rPr>
          <w:t>175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organization’s governing body shall have an active role in the administration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organization’s governing body shall receive and use input from local community stakeholders, members participating in services, and employees and shall provide oversight that ensures the provision of high-quality supports and services to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organization shall implement outcome-based standards for rights and dignity.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83.81.pdf" Type="http://schemas.openxmlformats.org/officeDocument/2006/relationships/hyperlink" Id="rId4"/>
    <Relationship TargetMode="External" Target="https://www.legis.iowa.gov/docs/iac/chapter/441.75.pdf" Type="http://schemas.openxmlformats.org/officeDocument/2006/relationships/hyperlink" Id="rId5"/>
    <Relationship TargetMode="External" Target="https://www.legis.iowa.gov/docs/iac/rule/441.83.81.pdf" Type="http://schemas.openxmlformats.org/officeDocument/2006/relationships/hyperlink" Id="rId6"/>
    <Relationship TargetMode="External" Target="https://www.legis.iowa.gov/docs/iac/rule/441.77.51.pdf" Type="http://schemas.openxmlformats.org/officeDocument/2006/relationships/hyperlink" Id="rId7"/>
    <Relationship TargetMode="External" Target="https://www.legis.iowa.gov/docs/iac/rule/441.77.30.pdf" Type="http://schemas.openxmlformats.org/officeDocument/2006/relationships/hyperlink" Id="rId8"/>
    <Relationship TargetMode="External" Target="https://www.legis.iowa.gov/docs/iac/chapter/441.175.pdf" Type="http://schemas.openxmlformats.org/officeDocument/2006/relationships/hyperlink" Id="rId9"/>
    <Relationship TargetMode="External" Target="https://www.legis.iowa.gov/docs/iac/chapter/441.176.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