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441—77.38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 providers. </w:t>
      </w:r>
      <w:r>
        <w:rPr>
          <w:rFonts w:ascii="Times New Roman" w:hAnsi="Times New Roman"/>
          <w:b w:val="false"/>
          <w:i w:val="false"/>
          <w:color w:val="000000"/>
          <w:sz w:val="22"/>
        </w:rPr>
        <w:t xml:space="preserve">HCBS elderly waiver services shall be rendered by a person who meets the training and qualification specified in the HCBS Waiver Provider Manual as amended to July 1, 2026. The following providers are eligible to participate in the Medicaid HCBS elderly waiver program if they meet the standards in subrule </w:t>
      </w:r>
      <w:hyperlink r:id="rId4">
        <w:r>
          <w:rPr>
            <w:rStyle w:val="Hyperlink"/>
            <w:rFonts w:ascii="Times New Roman" w:hAnsi="Times New Roman"/>
            <w:b w:val="false"/>
            <w:i w:val="false"/>
            <w:color w:val="000000"/>
            <w:sz w:val="22"/>
          </w:rPr>
          <w:t>77.38(22)</w:t>
        </w:r>
      </w:hyperlink>
      <w:r>
        <w:rPr>
          <w:rFonts w:ascii="Times New Roman" w:hAnsi="Times New Roman"/>
          <w:b w:val="false"/>
          <w:i w:val="false"/>
          <w:color w:val="000000"/>
          <w:sz w:val="22"/>
        </w:rPr>
        <w:t xml:space="preserve"> and the integrated, community-based settings standards in subrule </w:t>
      </w:r>
      <w:hyperlink r:id="rId5">
        <w:r>
          <w:rPr>
            <w:rStyle w:val="Hyperlink"/>
            <w:rFonts w:ascii="Times New Roman" w:hAnsi="Times New Roman"/>
            <w:b w:val="false"/>
            <w:i w:val="false"/>
            <w:color w:val="000000"/>
            <w:sz w:val="22"/>
          </w:rPr>
          <w:t>77.30(5)</w:t>
        </w:r>
      </w:hyperlink>
      <w:r>
        <w:rPr>
          <w:rFonts w:ascii="Times New Roman" w:hAnsi="Times New Roman"/>
          <w:b w:val="false"/>
          <w:i w:val="false"/>
          <w:color w:val="000000"/>
          <w:sz w:val="22"/>
        </w:rPr>
        <w:t xml:space="preserve"> and also meet the standards set forth below for the service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providers. </w:t>
      </w:r>
      <w:r>
        <w:rPr>
          <w:rFonts w:ascii="Times New Roman" w:hAnsi="Times New Roman"/>
          <w:b w:val="false"/>
          <w:i w:val="false"/>
          <w:color w:val="000000"/>
          <w:sz w:val="22"/>
        </w:rPr>
        <w:t xml:space="preserve">Adult day care providers meeting the criteria outlined in subrule </w:t>
      </w:r>
      <w:hyperlink r:id="rId6">
        <w:r>
          <w:rPr>
            <w:rStyle w:val="Hyperlink"/>
            <w:rFonts w:ascii="Times New Roman" w:hAnsi="Times New Roman"/>
            <w:b w:val="false"/>
            <w:i w:val="false"/>
            <w:color w:val="000000"/>
            <w:sz w:val="22"/>
          </w:rPr>
          <w:t>77.35(3)</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w:t>
      </w:r>
      <w:r>
        <w:rPr>
          <w:rFonts w:ascii="Times New Roman" w:hAnsi="Times New Roman"/>
          <w:b w:val="false"/>
          <w:i w:val="false"/>
          <w:color w:val="000000"/>
          <w:sz w:val="22"/>
        </w:rPr>
        <w:t> </w:t>
      </w:r>
      <w:r>
        <w:rPr>
          <w:rFonts w:ascii="Times New Roman" w:hAnsi="Times New Roman"/>
          <w:b w:val="false"/>
          <w:i/>
          <w:color w:val="000000"/>
          <w:sz w:val="22"/>
        </w:rPr>
        <w:t xml:space="preserve">Emergency response system providers. </w:t>
      </w:r>
      <w:r>
        <w:rPr>
          <w:rFonts w:ascii="Times New Roman" w:hAnsi="Times New Roman"/>
          <w:b w:val="false"/>
          <w:i w:val="false"/>
          <w:color w:val="000000"/>
          <w:sz w:val="22"/>
        </w:rPr>
        <w:t>Emergency response system providers must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an electronic component to transmit a coded signal via digital equipment over telephone lines to a central monitoring station. The central monitoring station must operate receiving equipment and be fully staffed by trained attendants 24 hours per day, seven days per week. The attendants must process emergency calls and ensure the timely notification of appropriate emergency resources to be dispatched to the person in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parent agency, institution or corporation shall have the necessary legal authority to operate in conformity with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governing authority that is responsible for establishing policy and ensuring effective control of services and finances. The governing authority shall employ or contract for an agency administrator to whom authority and responsibility for overall agency administration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or institution shall be in compliance with all applicable laws and regulations relating to prohibition of discriminatory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established to explain how the service operates, agency responsibilities, client responsibilities and cost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providers. </w:t>
      </w:r>
      <w:r>
        <w:rPr>
          <w:rFonts w:ascii="Times New Roman" w:hAnsi="Times New Roman"/>
          <w:b w:val="false"/>
          <w:i w:val="false"/>
          <w:color w:val="000000"/>
          <w:sz w:val="22"/>
        </w:rPr>
        <w:t xml:space="preserve">Home health aide providers meeting the criteria outlined in subrule </w:t>
      </w:r>
      <w:hyperlink r:id="rId7">
        <w:r>
          <w:rPr>
            <w:rStyle w:val="Hyperlink"/>
            <w:rFonts w:ascii="Times New Roman" w:hAnsi="Times New Roman"/>
            <w:b w:val="false"/>
            <w:i w:val="false"/>
            <w:color w:val="000000"/>
            <w:sz w:val="22"/>
          </w:rPr>
          <w:t>77.35(2)</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77.38(4)</w:t>
      </w:r>
      <w:r>
        <w:rPr>
          <w:rFonts w:ascii="Times New Roman" w:hAnsi="Times New Roman"/>
          <w:b w:val="false"/>
          <w:i w:val="false"/>
          <w:color w:val="000000"/>
          <w:sz w:val="22"/>
        </w:rPr>
        <w:t> </w:t>
      </w:r>
      <w:r>
        <w:rPr>
          <w:rFonts w:ascii="Times New Roman" w:hAnsi="Times New Roman"/>
          <w:b w:val="false"/>
          <w:i/>
          <w:color w:val="000000"/>
          <w:sz w:val="22"/>
        </w:rPr>
        <w:t xml:space="preserve">Homemaker service providers. </w:t>
      </w:r>
      <w:r>
        <w:rPr>
          <w:rFonts w:ascii="Times New Roman" w:hAnsi="Times New Roman"/>
          <w:b w:val="false"/>
          <w:i w:val="false"/>
          <w:color w:val="000000"/>
          <w:sz w:val="22"/>
        </w:rPr>
        <w:t xml:space="preserve">Homemaker service providers meeting the criteria in subrule </w:t>
      </w:r>
      <w:hyperlink r:id="rId8">
        <w:r>
          <w:rPr>
            <w:rStyle w:val="Hyperlink"/>
            <w:rFonts w:ascii="Times New Roman" w:hAnsi="Times New Roman"/>
            <w:b w:val="false"/>
            <w:i w:val="false"/>
            <w:color w:val="000000"/>
            <w:sz w:val="22"/>
          </w:rPr>
          <w:t>77.35(1)</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77.38(5)</w:t>
      </w: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 xml:space="preserve">Nursing care providers meeting the criteria in subrule </w:t>
      </w:r>
      <w:hyperlink r:id="rId9">
        <w:r>
          <w:rPr>
            <w:rStyle w:val="Hyperlink"/>
            <w:rFonts w:ascii="Times New Roman" w:hAnsi="Times New Roman"/>
            <w:b w:val="false"/>
            <w:i w:val="false"/>
            <w:color w:val="000000"/>
            <w:sz w:val="22"/>
          </w:rPr>
          <w:t>77.35(4)</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77.38(6)</w:t>
      </w:r>
      <w:r>
        <w:rPr>
          <w:rFonts w:ascii="Times New Roman" w:hAnsi="Times New Roman"/>
          <w:b w:val="false"/>
          <w:i w:val="false"/>
          <w:color w:val="000000"/>
          <w:sz w:val="22"/>
        </w:rPr>
        <w:t> </w:t>
      </w:r>
      <w:r>
        <w:rPr>
          <w:rFonts w:ascii="Times New Roman" w:hAnsi="Times New Roman"/>
          <w:b w:val="false"/>
          <w:i/>
          <w:color w:val="000000"/>
          <w:sz w:val="22"/>
        </w:rPr>
        <w:t xml:space="preserve">Respite care. </w:t>
      </w:r>
      <w:r>
        <w:rPr>
          <w:rFonts w:ascii="Times New Roman" w:hAnsi="Times New Roman"/>
          <w:b w:val="false"/>
          <w:i w:val="false"/>
          <w:color w:val="000000"/>
          <w:sz w:val="22"/>
        </w:rPr>
        <w:t xml:space="preserve">Respite care providers meeting the criteria in subrule </w:t>
      </w:r>
      <w:hyperlink r:id="rId10">
        <w:r>
          <w:rPr>
            <w:rStyle w:val="Hyperlink"/>
            <w:rFonts w:ascii="Times New Roman" w:hAnsi="Times New Roman"/>
            <w:b w:val="false"/>
            <w:i w:val="false"/>
            <w:color w:val="000000"/>
            <w:sz w:val="22"/>
          </w:rPr>
          <w:t>77.35(5)</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77.38(7)</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providers. </w:t>
      </w:r>
      <w:r>
        <w:rPr>
          <w:rFonts w:ascii="Times New Roman" w:hAnsi="Times New Roman"/>
          <w:b w:val="false"/>
          <w:i w:val="false"/>
          <w:color w:val="000000"/>
          <w:sz w:val="22"/>
        </w:rPr>
        <w:t xml:space="preserve">Home-delivered meals providers meeting the criteria outlined in subrule </w:t>
      </w:r>
      <w:hyperlink r:id="rId11">
        <w:r>
          <w:rPr>
            <w:rStyle w:val="Hyperlink"/>
            <w:rFonts w:ascii="Times New Roman" w:hAnsi="Times New Roman"/>
            <w:b w:val="false"/>
            <w:i w:val="false"/>
            <w:color w:val="000000"/>
            <w:sz w:val="22"/>
          </w:rPr>
          <w:t>77.35(11)</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77.38(8)</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providers. </w:t>
      </w:r>
      <w:r>
        <w:rPr>
          <w:rFonts w:ascii="Times New Roman" w:hAnsi="Times New Roman"/>
          <w:b w:val="false"/>
          <w:i w:val="false"/>
          <w:color w:val="000000"/>
          <w:sz w:val="22"/>
        </w:rPr>
        <w:t xml:space="preserve">Home and vehicle modification providers meeting the criteria outlined in subrule </w:t>
      </w:r>
      <w:hyperlink r:id="rId12">
        <w:r>
          <w:rPr>
            <w:rStyle w:val="Hyperlink"/>
            <w:rFonts w:ascii="Times New Roman" w:hAnsi="Times New Roman"/>
            <w:b w:val="false"/>
            <w:i w:val="false"/>
            <w:color w:val="000000"/>
            <w:sz w:val="22"/>
          </w:rPr>
          <w:t>77.35(9)</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77.38(9)</w:t>
      </w:r>
      <w:r>
        <w:rPr>
          <w:rFonts w:ascii="Times New Roman" w:hAnsi="Times New Roman"/>
          <w:b w:val="false"/>
          <w:i w:val="false"/>
          <w:color w:val="000000"/>
          <w:sz w:val="22"/>
        </w:rPr>
        <w:t> </w:t>
      </w:r>
      <w:r>
        <w:rPr>
          <w:rFonts w:ascii="Times New Roman" w:hAnsi="Times New Roman"/>
          <w:b w:val="false"/>
          <w:i/>
          <w:color w:val="000000"/>
          <w:sz w:val="22"/>
        </w:rPr>
        <w:t xml:space="preserve">Mental health outreach providers. </w:t>
      </w:r>
      <w:r>
        <w:rPr>
          <w:rFonts w:ascii="Times New Roman" w:hAnsi="Times New Roman"/>
          <w:b w:val="false"/>
          <w:i w:val="false"/>
          <w:color w:val="000000"/>
          <w:sz w:val="22"/>
        </w:rPr>
        <w:t xml:space="preserve">Community mental health centers or other accredited behavioral health providers meeting the criteria outlined in rule </w:t>
      </w:r>
      <w:hyperlink r:id="rId13">
        <w:r>
          <w:rPr>
            <w:rStyle w:val="Hyperlink"/>
            <w:rFonts w:ascii="Times New Roman" w:hAnsi="Times New Roman"/>
            <w:b w:val="false"/>
            <w:i w:val="false"/>
            <w:color w:val="000000"/>
            <w:sz w:val="22"/>
          </w:rPr>
          <w:t>441—77.31</w:t>
        </w:r>
      </w:hyperlink>
      <w:r>
        <w:rPr>
          <w:rFonts w:ascii="Times New Roman" w:hAnsi="Times New Roman"/>
          <w:b w:val="false"/>
          <w:i w:val="false"/>
          <w:color w:val="000000"/>
          <w:sz w:val="22"/>
        </w:rPr>
        <w:t>(249A) may provide mental health outreach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77.38(10)</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providers. </w:t>
      </w:r>
      <w:r>
        <w:rPr>
          <w:rFonts w:ascii="Times New Roman" w:hAnsi="Times New Roman"/>
          <w:b w:val="false"/>
          <w:i w:val="false"/>
          <w:color w:val="000000"/>
          <w:sz w:val="22"/>
        </w:rPr>
        <w:t>The following providers may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in </w:t>
      </w:r>
      <w:hyperlink r:id="rId14">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 Transportation providers subcontracting with area agencies on aging or with letters of approval from the area agencies on aging stating the organization is qualified to provide transportation services may also provide 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action agencies as designated in Iowa Code section </w:t>
      </w:r>
      <w:hyperlink r:id="rId15">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transit agencies as recognized by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providers certified pursuant to subrule </w:t>
      </w:r>
      <w:hyperlink r:id="rId16">
        <w:r>
          <w:rPr>
            <w:rStyle w:val="Hyperlink"/>
            <w:rFonts w:ascii="Times New Roman" w:hAnsi="Times New Roman"/>
            <w:b w:val="false"/>
            <w:i w:val="false"/>
            <w:color w:val="000000"/>
            <w:sz w:val="22"/>
          </w:rPr>
          <w:t>77.40(2)</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77.42(12)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licensed pursuant to Iowa Code chapter </w:t>
      </w:r>
      <w:hyperlink r:id="rId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contracting with the nonemergency medical transportation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77.38(11)</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 xml:space="preserve">Providers meeting the criteria outlined in subrule </w:t>
      </w:r>
      <w:hyperlink r:id="rId19">
        <w:r>
          <w:rPr>
            <w:rStyle w:val="Hyperlink"/>
            <w:rFonts w:ascii="Times New Roman" w:hAnsi="Times New Roman"/>
            <w:b w:val="false"/>
            <w:i w:val="false"/>
            <w:color w:val="000000"/>
            <w:sz w:val="22"/>
          </w:rPr>
          <w:t>77.35(12)</w:t>
        </w:r>
      </w:hyperlink>
      <w:r>
        <w:rPr>
          <w:rFonts w:ascii="Times New Roman" w:hAnsi="Times New Roman"/>
          <w:b w:val="false"/>
          <w:i w:val="false"/>
          <w:color w:val="000000"/>
          <w:sz w:val="22"/>
        </w:rPr>
        <w:t xml:space="preserve"> may provide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77.38(12)</w:t>
      </w:r>
      <w:r>
        <w:rPr>
          <w:rFonts w:ascii="Times New Roman" w:hAnsi="Times New Roman"/>
          <w:b w:val="false"/>
          <w:i w:val="false"/>
          <w:color w:val="000000"/>
          <w:sz w:val="22"/>
        </w:rPr>
        <w:t> </w:t>
      </w:r>
      <w:r>
        <w:rPr>
          <w:rFonts w:ascii="Times New Roman" w:hAnsi="Times New Roman"/>
          <w:b w:val="false"/>
          <w:i/>
          <w:color w:val="000000"/>
          <w:sz w:val="22"/>
        </w:rPr>
        <w:t xml:space="preserve">Assistive device providers. </w:t>
      </w:r>
      <w:r>
        <w:rPr>
          <w:rFonts w:ascii="Times New Roman" w:hAnsi="Times New Roman"/>
          <w:b w:val="false"/>
          <w:i w:val="false"/>
          <w:color w:val="000000"/>
          <w:sz w:val="22"/>
        </w:rPr>
        <w:t>The following providers may provide assistive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Medicaid-enrolled medical equipment and supply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Area agencies on aging as designated according to </w:t>
      </w:r>
      <w:hyperlink r:id="rId20">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that were enrolled as assistive device providers as of June 30, 2010, based on a contract with or letter of approval from an area agency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businesses that are engaged in the provision of assistive devices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all necessary licenses and permits to operate in conformity with federal, state, and local laws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current liability and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77.38(13)</w:t>
      </w:r>
      <w:r>
        <w:rPr>
          <w:rFonts w:ascii="Times New Roman" w:hAnsi="Times New Roman"/>
          <w:b w:val="false"/>
          <w:i w:val="false"/>
          <w:color w:val="000000"/>
          <w:sz w:val="22"/>
        </w:rPr>
        <w:t> </w:t>
      </w:r>
      <w:r>
        <w:rPr>
          <w:rFonts w:ascii="Times New Roman" w:hAnsi="Times New Roman"/>
          <w:b w:val="false"/>
          <w:i/>
          <w:color w:val="000000"/>
          <w:sz w:val="22"/>
        </w:rPr>
        <w:t xml:space="preserve">Companion services. </w:t>
      </w:r>
      <w:r>
        <w:rPr>
          <w:rFonts w:ascii="Times New Roman" w:hAnsi="Times New Roman"/>
          <w:b w:val="false"/>
          <w:i w:val="false"/>
          <w:color w:val="000000"/>
          <w:sz w:val="22"/>
        </w:rPr>
        <w:t>Senior companion programs designated by the Corporation for National and Community Service may provide companion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77.38(14)</w:t>
      </w:r>
      <w:r>
        <w:rPr>
          <w:rFonts w:ascii="Times New Roman" w:hAnsi="Times New Roman"/>
          <w:b w:val="false"/>
          <w:i w:val="false"/>
          <w:color w:val="000000"/>
          <w:sz w:val="22"/>
        </w:rPr>
        <w:t> </w:t>
      </w:r>
      <w:r>
        <w:rPr>
          <w:rFonts w:ascii="Times New Roman" w:hAnsi="Times New Roman"/>
          <w:b w:val="false"/>
          <w:i/>
          <w:color w:val="000000"/>
          <w:sz w:val="22"/>
        </w:rPr>
        <w:t xml:space="preserve">Attendant care providers. </w:t>
      </w:r>
      <w:r>
        <w:rPr>
          <w:rFonts w:ascii="Times New Roman" w:hAnsi="Times New Roman"/>
          <w:b w:val="false"/>
          <w:i w:val="false"/>
          <w:color w:val="000000"/>
          <w:sz w:val="22"/>
        </w:rPr>
        <w:t xml:space="preserve">Attendant care providers meeting the criteria outlined in subrule </w:t>
      </w:r>
      <w:hyperlink r:id="rId21">
        <w:r>
          <w:rPr>
            <w:rStyle w:val="Hyperlink"/>
            <w:rFonts w:ascii="Times New Roman" w:hAnsi="Times New Roman"/>
            <w:b w:val="false"/>
            <w:i w:val="false"/>
            <w:color w:val="000000"/>
            <w:sz w:val="22"/>
          </w:rPr>
          <w:t>77.35(7)</w:t>
        </w:r>
      </w:hyperlink>
      <w:r>
        <w:rPr>
          <w:rFonts w:ascii="Times New Roman" w:hAnsi="Times New Roman"/>
          <w:b w:val="false"/>
          <w:i w:val="false"/>
          <w:color w:val="000000"/>
          <w:sz w:val="22"/>
        </w:rPr>
        <w:t xml:space="preserve"> are eligible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77.38(15)</w:t>
      </w:r>
      <w:r>
        <w:rPr>
          <w:rFonts w:ascii="Times New Roman" w:hAnsi="Times New Roman"/>
          <w:b w:val="false"/>
          <w:i w:val="false"/>
          <w:color w:val="000000"/>
          <w:sz w:val="22"/>
        </w:rPr>
        <w:t> </w:t>
      </w:r>
      <w:r>
        <w:rPr>
          <w:rFonts w:ascii="Times New Roman" w:hAnsi="Times New Roman"/>
          <w:b w:val="false"/>
          <w:i/>
          <w:color w:val="000000"/>
          <w:sz w:val="22"/>
        </w:rPr>
        <w:t xml:space="preserve">Financial management service. </w:t>
      </w:r>
      <w:r>
        <w:rPr>
          <w:rFonts w:ascii="Times New Roman" w:hAnsi="Times New Roman"/>
          <w:b w:val="false"/>
          <w:i w:val="false"/>
          <w:color w:val="000000"/>
          <w:sz w:val="22"/>
        </w:rPr>
        <w:t xml:space="preserve">Members who select the consumer choices option may work with a financial institution that meets the qualifications in subrule </w:t>
      </w:r>
      <w:hyperlink r:id="rId22">
        <w:r>
          <w:rPr>
            <w:rStyle w:val="Hyperlink"/>
            <w:rFonts w:ascii="Times New Roman" w:hAnsi="Times New Roman"/>
            <w:b w:val="false"/>
            <w:i w:val="false"/>
            <w:color w:val="000000"/>
            <w:sz w:val="22"/>
          </w:rPr>
          <w:t>77.35(13)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77.38(16)</w:t>
      </w:r>
      <w:r>
        <w:rPr>
          <w:rFonts w:ascii="Times New Roman" w:hAnsi="Times New Roman"/>
          <w:b w:val="false"/>
          <w:i w:val="false"/>
          <w:color w:val="000000"/>
          <w:sz w:val="22"/>
        </w:rPr>
        <w:t> </w:t>
      </w:r>
      <w:r>
        <w:rPr>
          <w:rFonts w:ascii="Times New Roman" w:hAnsi="Times New Roman"/>
          <w:b w:val="false"/>
          <w:i/>
          <w:color w:val="000000"/>
          <w:sz w:val="22"/>
        </w:rPr>
        <w:t xml:space="preserve">Independent support brokerage. </w:t>
      </w:r>
      <w:r>
        <w:rPr>
          <w:rFonts w:ascii="Times New Roman" w:hAnsi="Times New Roman"/>
          <w:b w:val="false"/>
          <w:i w:val="false"/>
          <w:color w:val="000000"/>
          <w:sz w:val="22"/>
        </w:rPr>
        <w:t xml:space="preserve">Members who select the consumer choices option shall work with an independent support broker who meets the criteria outlined in subrule </w:t>
      </w:r>
      <w:hyperlink r:id="rId23">
        <w:r>
          <w:rPr>
            <w:rStyle w:val="Hyperlink"/>
            <w:rFonts w:ascii="Times New Roman" w:hAnsi="Times New Roman"/>
            <w:b w:val="false"/>
            <w:i w:val="false"/>
            <w:color w:val="000000"/>
            <w:sz w:val="22"/>
          </w:rPr>
          <w:t>77.35(14)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77.38(17)</w:t>
      </w:r>
      <w:r>
        <w:rPr>
          <w:rFonts w:ascii="Times New Roman" w:hAnsi="Times New Roman"/>
          <w:b w:val="false"/>
          <w:i w:val="false"/>
          <w:color w:val="000000"/>
          <w:sz w:val="22"/>
        </w:rPr>
        <w:t> </w:t>
      </w:r>
      <w:r>
        <w:rPr>
          <w:rFonts w:ascii="Times New Roman" w:hAnsi="Times New Roman"/>
          <w:b w:val="false"/>
          <w:i/>
          <w:color w:val="000000"/>
          <w:sz w:val="22"/>
        </w:rPr>
        <w:t xml:space="preserve">Self-directed personal care. </w:t>
      </w:r>
      <w:r>
        <w:rPr>
          <w:rFonts w:ascii="Times New Roman" w:hAnsi="Times New Roman"/>
          <w:b w:val="false"/>
          <w:i w:val="false"/>
          <w:color w:val="000000"/>
          <w:sz w:val="22"/>
        </w:rPr>
        <w:t xml:space="preserve">Members who elect the consumer choices option may choose to purchase self-directed personal care services from an individual or business that meets the requirements outlined in subrule </w:t>
      </w:r>
      <w:hyperlink r:id="rId24">
        <w:r>
          <w:rPr>
            <w:rStyle w:val="Hyperlink"/>
            <w:rFonts w:ascii="Times New Roman" w:hAnsi="Times New Roman"/>
            <w:b w:val="false"/>
            <w:i w:val="false"/>
            <w:color w:val="000000"/>
            <w:sz w:val="22"/>
          </w:rPr>
          <w:t>77.35(15)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77.38(18)</w:t>
      </w:r>
      <w:r>
        <w:rPr>
          <w:rFonts w:ascii="Times New Roman" w:hAnsi="Times New Roman"/>
          <w:b w:val="false"/>
          <w:i w:val="false"/>
          <w:color w:val="000000"/>
          <w:sz w:val="22"/>
        </w:rPr>
        <w:t> </w:t>
      </w:r>
      <w:r>
        <w:rPr>
          <w:rFonts w:ascii="Times New Roman" w:hAnsi="Times New Roman"/>
          <w:b w:val="false"/>
          <w:i/>
          <w:color w:val="000000"/>
          <w:sz w:val="22"/>
        </w:rPr>
        <w:t xml:space="preserve">Individual-directed goods and services. </w:t>
      </w:r>
      <w:r>
        <w:rPr>
          <w:rFonts w:ascii="Times New Roman" w:hAnsi="Times New Roman"/>
          <w:b w:val="false"/>
          <w:i w:val="false"/>
          <w:color w:val="000000"/>
          <w:sz w:val="22"/>
        </w:rPr>
        <w:t xml:space="preserve">Members who elect the consumer choices option may choose to purchase individual-directed goods and services from an individual or business that meets the requirements outlined in subrule </w:t>
      </w:r>
      <w:hyperlink r:id="rId25">
        <w:r>
          <w:rPr>
            <w:rStyle w:val="Hyperlink"/>
            <w:rFonts w:ascii="Times New Roman" w:hAnsi="Times New Roman"/>
            <w:b w:val="false"/>
            <w:i w:val="false"/>
            <w:color w:val="000000"/>
            <w:sz w:val="22"/>
          </w:rPr>
          <w:t>77.35(16)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77.38(19)</w:t>
      </w:r>
      <w:r>
        <w:rPr>
          <w:rFonts w:ascii="Times New Roman" w:hAnsi="Times New Roman"/>
          <w:b w:val="false"/>
          <w:i w:val="false"/>
          <w:color w:val="000000"/>
          <w:sz w:val="22"/>
        </w:rPr>
        <w:t> </w:t>
      </w:r>
      <w:r>
        <w:rPr>
          <w:rFonts w:ascii="Times New Roman" w:hAnsi="Times New Roman"/>
          <w:b w:val="false"/>
          <w:i/>
          <w:color w:val="000000"/>
          <w:sz w:val="22"/>
        </w:rPr>
        <w:t xml:space="preserve">Self-directed community supports and employment. </w:t>
      </w:r>
      <w:r>
        <w:rPr>
          <w:rFonts w:ascii="Times New Roman" w:hAnsi="Times New Roman"/>
          <w:b w:val="false"/>
          <w:i w:val="false"/>
          <w:color w:val="000000"/>
          <w:sz w:val="22"/>
        </w:rPr>
        <w:t xml:space="preserve">Members who elect the consumer choices option may choose to purchase self-directed community supports and employment from an individual or business that meets the requirements outlined in subrule </w:t>
      </w:r>
      <w:hyperlink r:id="rId26">
        <w:r>
          <w:rPr>
            <w:rStyle w:val="Hyperlink"/>
            <w:rFonts w:ascii="Times New Roman" w:hAnsi="Times New Roman"/>
            <w:b w:val="false"/>
            <w:i w:val="false"/>
            <w:color w:val="000000"/>
            <w:sz w:val="22"/>
          </w:rPr>
          <w:t>77.35(17)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77.38(20)</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providers. </w:t>
      </w:r>
      <w:r>
        <w:rPr>
          <w:rFonts w:ascii="Times New Roman" w:hAnsi="Times New Roman"/>
          <w:b w:val="false"/>
          <w:i w:val="false"/>
          <w:color w:val="000000"/>
          <w:sz w:val="22"/>
        </w:rPr>
        <w:t xml:space="preserve">A case management provider organization is eligible to participate in the Medicaid HCBS elderly waiver program if the organization meets the standards outlined in </w:t>
      </w:r>
      <w:hyperlink r:id="rId2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77.38(21)</w:t>
      </w:r>
      <w:r>
        <w:rPr>
          <w:rFonts w:ascii="Times New Roman" w:hAnsi="Times New Roman"/>
          <w:b w:val="false"/>
          <w:i w:val="false"/>
          <w:color w:val="000000"/>
          <w:sz w:val="22"/>
        </w:rPr>
        <w:t> </w:t>
      </w:r>
      <w:r>
        <w:rPr>
          <w:rFonts w:ascii="Times New Roman" w:hAnsi="Times New Roman"/>
          <w:b w:val="false"/>
          <w:i/>
          <w:color w:val="000000"/>
          <w:sz w:val="22"/>
        </w:rPr>
        <w:t xml:space="preserve">Incident management and reporting. </w:t>
      </w:r>
      <w:r>
        <w:rPr>
          <w:rFonts w:ascii="Times New Roman" w:hAnsi="Times New Roman"/>
          <w:b w:val="false"/>
          <w:i w:val="false"/>
          <w:color w:val="000000"/>
          <w:sz w:val="22"/>
        </w:rPr>
        <w:t xml:space="preserve">As a condition of participation in the medical assistance program, HCBS elderly waiver service providers must comply with the requirements of Iowa Code sections </w:t>
      </w:r>
      <w:hyperlink r:id="rId28">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regarding the reporting of child abuse and dependent adult abuse and with the incident management and reporting requirements set forth in the HCBS Waiver Provider Manual as amended to July 1, 2026, except for providers of assistive devices, chore service, goods and services purchased under the consumer choices option, home and vehicle modification, home-delivered meals, personal emergency response, 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77.38(22)</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on-call service. </w:t>
      </w:r>
      <w:r>
        <w:rPr>
          <w:rFonts w:ascii="Times New Roman" w:hAnsi="Times New Roman"/>
          <w:b w:val="false"/>
          <w:i w:val="false"/>
          <w:color w:val="000000"/>
          <w:sz w:val="22"/>
        </w:rPr>
        <w:t xml:space="preserve">Assisted living on-call service providers shall be assisted living programs that are certified by DIAL under </w:t>
      </w:r>
      <w:hyperlink r:id="rId30">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7.38.pdf" Type="http://schemas.openxmlformats.org/officeDocument/2006/relationships/hyperlink" Id="rId4"/>
    <Relationship TargetMode="External" Target="https://www.legis.iowa.gov/docs/iac/rule/441.77.30.pdf" Type="http://schemas.openxmlformats.org/officeDocument/2006/relationships/hyperlink" Id="rId5"/>
    <Relationship TargetMode="External" Target="https://www.legis.iowa.gov/docs/iac/rule/441.77.35.pdf" Type="http://schemas.openxmlformats.org/officeDocument/2006/relationships/hyperlink" Id="rId6"/>
    <Relationship TargetMode="External" Target="https://www.legis.iowa.gov/docs/iac/rule/441.77.35.pdf" Type="http://schemas.openxmlformats.org/officeDocument/2006/relationships/hyperlink" Id="rId7"/>
    <Relationship TargetMode="External" Target="https://www.legis.iowa.gov/docs/iac/rule/441.77.35.pdf" Type="http://schemas.openxmlformats.org/officeDocument/2006/relationships/hyperlink" Id="rId8"/>
    <Relationship TargetMode="External" Target="https://www.legis.iowa.gov/docs/iac/rule/441.77.35.pdf" Type="http://schemas.openxmlformats.org/officeDocument/2006/relationships/hyperlink" Id="rId9"/>
    <Relationship TargetMode="External" Target="https://www.legis.iowa.gov/docs/iac/rule/441.77.35.pdf" Type="http://schemas.openxmlformats.org/officeDocument/2006/relationships/hyperlink" Id="rId10"/>
    <Relationship TargetMode="External" Target="https://www.legis.iowa.gov/docs/iac/rule/441.77.35.pdf" Type="http://schemas.openxmlformats.org/officeDocument/2006/relationships/hyperlink" Id="rId11"/>
    <Relationship TargetMode="External" Target="https://www.legis.iowa.gov/docs/iac/rule/441.77.35.pdf" Type="http://schemas.openxmlformats.org/officeDocument/2006/relationships/hyperlink" Id="rId12"/>
    <Relationship TargetMode="External" Target="https://www.legis.iowa.gov/docs/iac/rule/441.77.31.pdf" Type="http://schemas.openxmlformats.org/officeDocument/2006/relationships/hyperlink" Id="rId13"/>
    <Relationship TargetMode="External" Target="https://www.legis.iowa.gov/docs/iac/chapter/441.226.pdf" Type="http://schemas.openxmlformats.org/officeDocument/2006/relationships/hyperlink" Id="rId14"/>
    <Relationship TargetMode="External" Target="https://www.legis.iowa.gov/docs/ico/chapter/216A.93.pdf" Type="http://schemas.openxmlformats.org/officeDocument/2006/relationships/hyperlink" Id="rId15"/>
    <Relationship TargetMode="External" Target="https://www.legis.iowa.gov/docs/iac/rule/441.77.40.pdf" Type="http://schemas.openxmlformats.org/officeDocument/2006/relationships/hyperlink" Id="rId16"/>
    <Relationship TargetMode="External" Target="https://www.legis.iowa.gov/docs/iac/rule/441.77.42.pdf" Type="http://schemas.openxmlformats.org/officeDocument/2006/relationships/hyperlink" Id="rId17"/>
    <Relationship TargetMode="External" Target="https://www.legis.iowa.gov/docs/ico/chapter/135C.pdf" Type="http://schemas.openxmlformats.org/officeDocument/2006/relationships/hyperlink" Id="rId18"/>
    <Relationship TargetMode="External" Target="https://www.legis.iowa.gov/docs/iac/rule/441.77.35.pdf" Type="http://schemas.openxmlformats.org/officeDocument/2006/relationships/hyperlink" Id="rId19"/>
    <Relationship TargetMode="External" Target="https://www.legis.iowa.gov/docs/iac/chapter/441.226.pdf" Type="http://schemas.openxmlformats.org/officeDocument/2006/relationships/hyperlink" Id="rId20"/>
    <Relationship TargetMode="External" Target="https://www.legis.iowa.gov/docs/iac/rule/441.77.35.pdf" Type="http://schemas.openxmlformats.org/officeDocument/2006/relationships/hyperlink" Id="rId21"/>
    <Relationship TargetMode="External" Target="https://www.legis.iowa.gov/docs/iac/rule/441.77.35.pdf" Type="http://schemas.openxmlformats.org/officeDocument/2006/relationships/hyperlink" Id="rId22"/>
    <Relationship TargetMode="External" Target="https://www.legis.iowa.gov/docs/iac/rule/441.77.35.pdf" Type="http://schemas.openxmlformats.org/officeDocument/2006/relationships/hyperlink" Id="rId23"/>
    <Relationship TargetMode="External" Target="https://www.legis.iowa.gov/docs/iac/rule/441.77.35.pdf" Type="http://schemas.openxmlformats.org/officeDocument/2006/relationships/hyperlink" Id="rId24"/>
    <Relationship TargetMode="External" Target="https://www.legis.iowa.gov/docs/iac/rule/441.77.35.pdf" Type="http://schemas.openxmlformats.org/officeDocument/2006/relationships/hyperlink" Id="rId25"/>
    <Relationship TargetMode="External" Target="https://www.legis.iowa.gov/docs/iac/rule/441.77.35.pdf" Type="http://schemas.openxmlformats.org/officeDocument/2006/relationships/hyperlink" Id="rId26"/>
    <Relationship TargetMode="External" Target="https://www.legis.iowa.gov/docs/iac/chapter/441.90.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35B.3.pdf" Type="http://schemas.openxmlformats.org/officeDocument/2006/relationships/hyperlink" Id="rId29"/>
    <Relationship TargetMode="External" Target="https://www.legis.iowa.gov/docs/iac/chapter/481.69.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