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441—77.15</w:t>
      </w:r>
      <w:r>
        <w:rPr>
          <w:rFonts w:ascii="Times New Roman" w:hAnsi="Times New Roman"/>
          <w:b/>
          <w:i w:val="false"/>
          <w:color w:val="000000"/>
          <w:sz w:val="22"/>
        </w:rPr>
        <w:t xml:space="preserve">(249A) </w:t>
      </w:r>
      <w:r>
        <w:rPr>
          <w:rFonts w:ascii="Times New Roman" w:hAnsi="Times New Roman"/>
          <w:b/>
          <w:i w:val="false"/>
          <w:color w:val="000000"/>
          <w:sz w:val="22"/>
        </w:rPr>
        <w:t xml:space="preserve">Audiologists. </w:t>
      </w:r>
      <w:r>
        <w:rPr>
          <w:rFonts w:ascii="Times New Roman" w:hAnsi="Times New Roman"/>
          <w:b w:val="false"/>
          <w:i w:val="false"/>
          <w:color w:val="000000"/>
          <w:sz w:val="22"/>
        </w:rPr>
        <w:t>Audiologists are eligible to participate in the program when they are duly licensed by the state of Iowa. Audiologists in other states will be eligible to participate when they are duly licensed in that state. In states having no licensure requirement for audiologists, an audiologist shall obtain a license from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