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441—74.6</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Reporting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74.6(1)</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In addition to the reporting requirements in </w:t>
      </w:r>
      <w:hyperlink r:id="rId4">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as a condition of ongoing enrollment, a member shall report any of the following changes no later than ten calendar days after the change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enters a nonmedical institution, including but not limited to a penal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abandons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turns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becomes entitled to or enrolled in Medicare Part A or Part B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under the age of 21 living with the member loses minimum essential coverage if the member is the child’s parent or caretaker and will claim the child as a dependent for state 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member is pregnant.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74.6(2)</w:t>
      </w:r>
      <w:r>
        <w:rPr>
          <w:rFonts w:ascii="Times New Roman" w:hAnsi="Times New Roman"/>
          <w:b w:val="false"/>
          <w:i w:val="false"/>
          <w:color w:val="000000"/>
          <w:sz w:val="22"/>
        </w:rPr>
        <w:t> </w:t>
      </w:r>
      <w:r>
        <w:rPr>
          <w:rFonts w:ascii="Times New Roman" w:hAnsi="Times New Roman"/>
          <w:b w:val="false"/>
          <w:i/>
          <w:color w:val="000000"/>
          <w:sz w:val="22"/>
        </w:rPr>
        <w:t xml:space="preserve">Untimely report. </w:t>
      </w:r>
      <w:r>
        <w:rPr>
          <w:rFonts w:ascii="Times New Roman" w:hAnsi="Times New Roman"/>
          <w:b w:val="false"/>
          <w:i w:val="false"/>
          <w:color w:val="000000"/>
          <w:sz w:val="22"/>
        </w:rPr>
        <w:t xml:space="preserve">When a change is not timely reported as required by this rule, any program expenditures for care or services provided when the member was not eligible will be considered an overpayment and be subject to recovery from the member in accordance with 441—Chapters </w:t>
      </w:r>
      <w:hyperlink r:id="rId5">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Program expenditures may include but are not limited to premiums and capitation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w:t>
      </w:r>
      <w:r>
        <w:rPr>
          <w:rFonts w:ascii="Times New Roman" w:hAnsi="Times New Roman"/>
          <w:b w:val="false"/>
          <w:i w:val="false"/>
          <w:color w:val="000000"/>
          <w:sz w:val="22"/>
        </w:rPr>
        <w:t>After enrollment, changes reported during the month that affect the member’s eligibility will be effective the first day of the next calendar month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Timely notice of adverse action is required as specified in rule </w:t>
      </w:r>
      <w:hyperlink r:id="rId7">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enrollment period has expired and the member is not eligible for a new enrollment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6.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chapter/441.11.pdf" Type="http://schemas.openxmlformats.org/officeDocument/2006/relationships/hyperlink" Id="rId6"/>
    <Relationship TargetMode="External" Target="https://www.legis.iowa.gov/docs/iac/rule/441.16.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