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441—74.5</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Enrollment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eligibility. </w:t>
      </w:r>
      <w:r>
        <w:rPr>
          <w:rFonts w:ascii="Times New Roman" w:hAnsi="Times New Roman"/>
          <w:b w:val="false"/>
          <w:i w:val="false"/>
          <w:color w:val="000000"/>
          <w:sz w:val="22"/>
        </w:rPr>
        <w:t xml:space="preserve">IHAWP eligibility will be effective on the first day of the month of application or the first day of the month all eligibility requirements are met, whichever is later. The enrollment period will continue for 12 consecutive months unless the member is disenrolled in accordance with the provisions of rule </w:t>
      </w:r>
      <w:hyperlink r:id="rId4">
        <w:r>
          <w:rPr>
            <w:rStyle w:val="Hyperlink"/>
            <w:rFonts w:ascii="Times New Roman" w:hAnsi="Times New Roman"/>
            <w:b w:val="false"/>
            <w:i w:val="false"/>
            <w:color w:val="000000"/>
            <w:sz w:val="22"/>
          </w:rPr>
          <w:t>441—74.8</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Enrollment for IHAWP may be reinstated without a new application in accordance with </w:t>
      </w:r>
      <w:hyperlink r:id="rId5">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 xml:space="preserve">The enrollment period of 12 consecutive months will not apply to individuals temporarily enrolled in Medicaid based on a presumptive eligibility determination by a qualified entity in accordance with </w:t>
      </w:r>
      <w:hyperlink r:id="rId6">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74.5(4)</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r>
        <w:rPr>
          <w:rFonts w:ascii="Times New Roman" w:hAnsi="Times New Roman"/>
          <w:b w:val="false"/>
          <w:i w:val="false"/>
          <w:color w:val="000000"/>
          <w:sz w:val="22"/>
        </w:rPr>
        <w:t xml:space="preserve">Medical assistance will be available to a pregnant woman or an infant (under one year of age), or a resident of a nursing facility licensed under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for all or any of the three months preceding the month in which an application is filed when eligibility requirements are met in accordance with </w:t>
      </w:r>
      <w:hyperlink r:id="rId8">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4.8.pdf" Type="http://schemas.openxmlformats.org/officeDocument/2006/relationships/hyperlink" Id="rId4"/>
    <Relationship TargetMode="External" Target="https://www.legis.iowa.gov/docs/iac/chapter/441.76.pdf" Type="http://schemas.openxmlformats.org/officeDocument/2006/relationships/hyperlink" Id="rId5"/>
    <Relationship TargetMode="External" Target="https://www.legis.iowa.gov/docs/iac/chapter/441.76.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chapter/441.7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