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441—74.2</w:t>
      </w:r>
      <w:r>
        <w:rPr>
          <w:rFonts w:ascii="Times New Roman" w:hAnsi="Times New Roman"/>
          <w:b/>
          <w:i w:val="false"/>
          <w:color w:val="000000"/>
          <w:sz w:val="22"/>
        </w:rPr>
        <w:t xml:space="preserve">(249A,249N) </w:t>
      </w:r>
      <w:r>
        <w:rPr>
          <w:rFonts w:ascii="Times New Roman" w:hAnsi="Times New Roman"/>
          <w:b/>
          <w:i w:val="false"/>
          <w:color w:val="000000"/>
          <w:sz w:val="22"/>
        </w:rPr>
        <w:t xml:space="preserve">Eligibility factors. </w:t>
      </w:r>
      <w:r>
        <w:rPr>
          <w:rFonts w:ascii="Times New Roman" w:hAnsi="Times New Roman"/>
          <w:b w:val="false"/>
          <w:i w:val="false"/>
          <w:color w:val="000000"/>
          <w:sz w:val="22"/>
        </w:rPr>
        <w:t xml:space="preserve">Except as more specifically provided in this chapter, IHAWP eligibility will be determined according to the requirements of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color w:val="000000"/>
          <w:sz w:val="22"/>
        </w:rPr>
        <w:t xml:space="preserve">Persons covered. </w:t>
      </w:r>
      <w:r>
        <w:rPr>
          <w:rFonts w:ascii="Times New Roman" w:hAnsi="Times New Roman"/>
          <w:b w:val="false"/>
          <w:i w:val="false"/>
          <w:color w:val="000000"/>
          <w:sz w:val="22"/>
        </w:rPr>
        <w:t xml:space="preserve">Subject to the additional requirements of this chapter and of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medical assistance under IHAWP will be available to persons 19 through 64 years of age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eligible for medical assistance in a mandatory group under </w:t>
      </w:r>
      <w:hyperlink r:id="rId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countable income at or below 133 percent of the FPL for their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entitled to or enrolled in Medicare benefits under Part A or </w:t>
      </w:r>
      <w:r>
        <w:rPr>
          <w:rFonts w:ascii="Times New Roman" w:hAnsi="Times New Roman"/>
          <w:b w:val="false"/>
          <w:i w:val="false"/>
          <w:color w:val="000000"/>
          <w:sz w:val="22"/>
        </w:rPr>
        <w:t>Part B of Title XVIII of the Social Security Act</w:t>
      </w:r>
      <w:r>
        <w:rPr>
          <w:rFonts w:ascii="Times New Roman" w:hAnsi="Times New Roman"/>
          <w:b w:val="false"/>
          <w:i w:val="false"/>
          <w:color w:val="000000"/>
          <w:sz w:val="22"/>
        </w:rPr>
        <w:t xml:space="preserve"> as amended to July 1, 2026;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not pregnant at the time of application or reenrollment.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color w:val="000000"/>
          <w:sz w:val="22"/>
        </w:rPr>
        <w:t xml:space="preserve">Parents or caretakers of dependent children. </w:t>
      </w:r>
      <w:r>
        <w:rPr>
          <w:rFonts w:ascii="Times New Roman" w:hAnsi="Times New Roman"/>
          <w:b w:val="false"/>
          <w:i w:val="false"/>
          <w:color w:val="000000"/>
          <w:sz w:val="22"/>
        </w:rPr>
        <w:t>All children under the age of 21 living with a parent or caretaker who will be claimed as a dependent by the parent or caretaker for state or federal income tax purposes must be enrolled in Medicaid, in the Children’s Health Insurance Program (CHIP), or in other minimum essential coverage as a condition of the parent’s or caretaker’s eligibility for IHAWP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color w:val="000000"/>
          <w:sz w:val="22"/>
        </w:rPr>
        <w:t xml:space="preserve">Citizenship. </w:t>
      </w:r>
      <w:r>
        <w:rPr>
          <w:rFonts w:ascii="Times New Roman" w:hAnsi="Times New Roman"/>
          <w:b w:val="false"/>
          <w:i w:val="false"/>
          <w:color w:val="000000"/>
          <w:sz w:val="22"/>
        </w:rPr>
        <w:t xml:space="preserve">To be eligible for IHAWP benefits, a person must meet the citizenship requirements in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chapter/441.75.pdf" Type="http://schemas.openxmlformats.org/officeDocument/2006/relationships/hyperlink" Id="rId6"/>
    <Relationship TargetMode="External" Target="https://www.legis.iowa.gov/docs/iac/chapter/441.7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