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441—74.14</w:t>
      </w:r>
      <w:r>
        <w:rPr>
          <w:rFonts w:ascii="Times New Roman" w:hAnsi="Times New Roman"/>
          <w:b/>
          <w:i w:val="false"/>
          <w:color w:val="000000"/>
          <w:sz w:val="22"/>
        </w:rPr>
        <w:t xml:space="preserve">(249A,249N) </w:t>
      </w:r>
      <w:r>
        <w:rPr>
          <w:rFonts w:ascii="Times New Roman" w:hAnsi="Times New Roman"/>
          <w:b/>
          <w:i w:val="false"/>
          <w:color w:val="000000"/>
          <w:sz w:val="22"/>
        </w:rPr>
        <w:t xml:space="preserve">Discontinuance of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74.14(1)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methodology for calculating the federal medical assistance percentage for eligible individuals, as provided in </w:t>
      </w:r>
      <w:r>
        <w:rPr>
          <w:rFonts w:ascii="Times New Roman" w:hAnsi="Times New Roman"/>
          <w:b w:val="false"/>
          <w:i w:val="false"/>
          <w:color w:val="000000"/>
          <w:sz w:val="22"/>
        </w:rPr>
        <w:t>42 U.S.C. §1396d(y)</w:t>
      </w:r>
      <w:r>
        <w:rPr>
          <w:rFonts w:ascii="Times New Roman" w:hAnsi="Times New Roman"/>
          <w:b w:val="false"/>
          <w:i w:val="false"/>
          <w:color w:val="000000"/>
          <w:sz w:val="22"/>
        </w:rPr>
        <w:t xml:space="preserve"> as amended to July 1, 2026, is modified through federal law or regulation, in a manner that reduces the percentage of federal assistance to the state, or if federal law or regulation affecting eligibility or benefits for IHAWP is modified, the department may implement an alternative plan as specified in the medical assistance state plan or waiver for coverage of the affected population, subject to prior, statutory approval of implementation of the alternative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methodology for calculating the federal medical assistance percentage for eligible individuals, as provided in </w:t>
      </w:r>
      <w:r>
        <w:rPr>
          <w:rFonts w:ascii="Times New Roman" w:hAnsi="Times New Roman"/>
          <w:b w:val="false"/>
          <w:i w:val="false"/>
          <w:color w:val="000000"/>
          <w:sz w:val="22"/>
        </w:rPr>
        <w:t>42 U.S.C. §1396d(y)</w:t>
      </w:r>
      <w:r>
        <w:rPr>
          <w:rFonts w:ascii="Times New Roman" w:hAnsi="Times New Roman"/>
          <w:b w:val="false"/>
          <w:i w:val="false"/>
          <w:color w:val="000000"/>
          <w:sz w:val="22"/>
        </w:rPr>
        <w:t xml:space="preserve"> as amended to July 1, 2026, is modified through federal law or regulation resulting in a reduction of the percentage of federal assistance to the state below 90 percent but not below 85 percent, the medical assistance program reimbursement rates for inpatient and outpatient hospital services will be reduced by a like percentage in the succeeding fiscal year, subject to prior, statutory approval of implementation of the reduction.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